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Anlage 1 VglWebV — (zu § 2 Absatz 2)Hinweistext</w:t>
      </w:r>
    </w:p>
    <w:p>
      <w:r>
        <w:rPr>
          <w:color w:val="555555"/>
          <w:sz w:val="18"/>
        </w:rPr>
        <w:t xml:space="preserve">Vergleichswebsitesverordnung</w:t>
      </w:r>
    </w:p>
    <w:p>
      <w:r>
        <w:rPr>
          <w:color w:val="555555"/>
          <w:sz w:val="18"/>
        </w:rPr>
        <w:t xml:space="preserve">Historische Fassung: Stand 10.06.2019 bis 30.01.2024. Dies ist nicht die aktuelle Fassung.</w:t>
      </w:r>
    </w:p>
    <w:p>
      <w:r>
        <w:t xml:space="preserve">(Fundstelle: BGBl. I 2018, 1186)</w:t>
      </w:r>
    </w:p>
    <w:p>
      <w:r>
        <w:rPr>
          <w:rFonts w:ascii="Courier New" w:hAnsi="Courier New"/>
          <w:sz w:val="17"/>
        </w:rPr>
        <w:t xml:space="preserve">Dies ist eine Vergleichswebsite, die nach dem Zahlungskontengesetz zertifiziert ist. Sie können sich hier entgeltfrei über die Konditionen für Zahlungskonten (z. B. Girokonten) verschiedener Banken und anderer Zahlungsdienstleister informieren. Diese Vergleichswebsite ist unabhängig. Ihr Vergleich beruht auf klaren und objektiven Kriterien.</w:t>
      </w:r>
    </w:p>
    <w:p>
      <w:r>
        <w:rPr>
          <w:rFonts w:ascii="Courier New" w:hAnsi="Courier New"/>
          <w:sz w:val="17"/>
        </w:rPr>
        <w:t xml:space="preserve">Diese Vergleichswebsite wurde von einer Konformitätsbewertungsstelle geprüft und zertifiziert, die von der Deutschen Akkreditierungsstelle GmbH (DAkkS) akkreditiert worden ist.</w:t>
      </w:r>
    </w:p>
    <w:p>
      <w:r>
        <w:rPr>
          <w:color w:val="555555"/>
          <w:sz w:val="17"/>
        </w:rPr>
        <w:t xml:space="preserve">Zitiervorschlag: Anlage 1 VglWebV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https://recht.nulegal.eu/gesetze/VglWebV/anlage-1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