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VglWebV — Verwendung klarer und objektiver Vergleichskriterien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Im Hinblick auf die Anforderung nach § 18 Nummer 3 des Zahlungskontengesetzes, klare und objektive Vergleichskriterien zu verwenden, muss der Betreiber einer Vergleichswebsite</w:t>
      </w:r>
    </w:p>
    <w:p>
      <w:pPr>
        <w:ind w:left="420"/>
      </w:pPr>
      <w:r>
        <w:t xml:space="preserve">1. alle verwendeten Vergleichskriterien vollständig auf der Vergleichswebsite auflisten,</w:t>
      </w:r>
    </w:p>
    <w:p>
      <w:pPr>
        <w:ind w:left="420"/>
      </w:pPr>
      <w:r>
        <w:t xml:space="preserve">2. die Art und Weise der Gewichtung und Priorisierung der Vergleichskriterien auf der Vergleichswebsite, sofern er eine solche Gewichtung und Priorisierung verwendet, leicht verständlich darlegen und</w:t>
      </w:r>
    </w:p>
    <w:p>
      <w:pPr>
        <w:ind w:left="420"/>
      </w:pPr>
      <w:r>
        <w:t xml:space="preserve">3. alle verwendeten Gewichtungen und Priorisierungen für den Zeitraum der Zertifizierung speichern, beginnend mit dem ersten Tag der Zertifizierung.</w:t>
      </w:r>
    </w:p>
    <w:p>
      <w:r>
        <w:t xml:space="preserve">(2) Der Betreiber einer Vergleichswebsite kann es dem Nutzer ermöglichen,</w:t>
      </w:r>
    </w:p>
    <w:p>
      <w:pPr>
        <w:ind w:left="420"/>
      </w:pPr>
      <w:r>
        <w:t xml:space="preserve">1. die Gewichtung und Priorisierung der Vergleichskriterien zu verändern und</w:t>
      </w:r>
    </w:p>
    <w:p>
      <w:pPr>
        <w:ind w:left="420"/>
      </w:pPr>
      <w:r>
        <w:t xml:space="preserve">2. Voreinstellungen vorzunehmen, um bestimmte eingegrenzte Nutzungsszenarien abzubilden.</w:t>
      </w:r>
    </w:p>
    <w:p>
      <w:r>
        <w:rPr>
          <w:color w:val="555555"/>
          <w:sz w:val="17"/>
        </w:rPr>
        <w:t xml:space="preserve">Zitiervorschlag: § 7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