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VglWebV — Unabhängiger Betrieb</w:t>
      </w:r>
    </w:p>
    <w:p>
      <w:r>
        <w:rPr>
          <w:color w:val="555555"/>
          <w:sz w:val="18"/>
        </w:rPr>
        <w:t xml:space="preserve">Vergleichswebsitesverordnung</w:t>
      </w:r>
    </w:p>
    <w:p>
      <w:r>
        <w:rPr>
          <w:color w:val="555555"/>
          <w:sz w:val="18"/>
        </w:rPr>
        <w:t xml:space="preserve">Historische Fassung: Stand 10.06.2019 bis 30.01.2024. Dies ist nicht die aktuelle Fassung.</w:t>
      </w:r>
    </w:p>
    <w:p>
      <w:r>
        <w:t xml:space="preserve">Der Betreiber einer Vergleichswebsite erfüllt die Anforderung eines unabhängigen Betriebs nach § 18 Nummer 1 des Zahlungskontengesetzes, wenn er</w:t>
      </w:r>
    </w:p>
    <w:p>
      <w:pPr>
        <w:ind w:left="420"/>
      </w:pPr>
      <w:r>
        <w:t xml:space="preserve">1. sicherstellt, dass für den Zahlungskontenvergleich nur solche Daten von Verbrauchern und Zahlungsdienstleistern genutzt werden, die für die Vergleichserstellung notwendig sind,</w:t>
      </w:r>
    </w:p>
    <w:p>
      <w:pPr>
        <w:ind w:left="420"/>
      </w:pPr>
      <w:r>
        <w:t xml:space="preserve">2. allen Zahlungsdienstleistern, die Zahlungskonten führen und Zahlungskontendienste anbieten, diskriminierungsfreien Zugang zur Aufnahme ihrer Produkte in den Vergleich gewährt,</w:t>
      </w:r>
    </w:p>
    <w:p>
      <w:pPr>
        <w:ind w:left="420"/>
      </w:pPr>
      <w:r>
        <w:t xml:space="preserve">3. ein Verzeichnis der in den Vergleich einbezogenen Zahlungsdienstleister führt, auf dem neuesten Stand hält und auf der Vergleichswebsite veröffentlicht,</w:t>
      </w:r>
    </w:p>
    <w:p>
      <w:pPr>
        <w:ind w:left="420"/>
      </w:pPr>
      <w:r>
        <w:t xml:space="preserve">4. sicherstellt, dass Vergütungen, die zwischen ihm und Zahlungsdienstleistern oder Dritten vereinbart sind, das Vergleichsergebnis nicht beeinflussen,</w:t>
      </w:r>
    </w:p>
    <w:p>
      <w:pPr>
        <w:ind w:left="420"/>
      </w:pPr>
      <w:r>
        <w:t xml:space="preserve">5. auf der Vergleichswebsite darauf hinweist, wenn sich Zahlungsdienstleister dazu verpflichtet haben, bei einem Vertragsabschluss mit dem Verbraucher eine Provision an den Betreiber der Vergleichswebsite zu zahlen,</w:t>
      </w:r>
    </w:p>
    <w:p>
      <w:pPr>
        <w:ind w:left="420"/>
      </w:pPr>
      <w:r>
        <w:t xml:space="preserve">6. sicherstellt, dass die zertifizierte Vergleichswebsite</w:t>
      </w:r>
    </w:p>
    <w:p>
      <w:pPr>
        <w:ind w:left="780"/>
      </w:pPr>
      <w:r>
        <w:t xml:space="preserve">a) in sich abgeschlossen ist und von Vergleichsangeboten des Betreibers für andere Produkte oder Dienstleistungen klar abgetrennt ist und</w:t>
      </w:r>
    </w:p>
    <w:p>
      <w:pPr>
        <w:ind w:left="780"/>
      </w:pPr>
      <w:r>
        <w:t xml:space="preserve">b) nicht von anderen Websites oder Websiteelementen teilweise oder ganz verdeckt wird,</w:t>
      </w:r>
    </w:p>
    <w:p>
      <w:pPr>
        <w:ind w:left="420"/>
      </w:pPr>
      <w:r>
        <w:t xml:space="preserve">7. sicherstellt, dass Werbeanzeigen vom Auswahl- und Vergleichsprozess deutlich abgegrenzt sind und weder in der Ergebnisaufstellung noch in der Auswahlmaske zur Einstellung der Vergleichskriterien Werbeanzeigen enthalten sind, und</w:t>
      </w:r>
    </w:p>
    <w:p>
      <w:pPr>
        <w:ind w:left="420"/>
      </w:pPr>
      <w:r>
        <w:t xml:space="preserve">8. Links zu Anbietern von Zahlungskonten oder zu anderen externen Inhalten als solche eindeutig kenntlich macht.</w:t>
      </w:r>
    </w:p>
    <w:p>
      <w:r>
        <w:rPr>
          <w:color w:val="555555"/>
          <w:sz w:val="17"/>
        </w:rPr>
        <w:t xml:space="preserve">Zitiervorschlag: § 6 VglWebV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https://recht.nulegal.eu/gesetze/VglWebV/6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