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VglWebV — Vergleichskriterium Geldautomatennetz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Der Betreiber einer Vergleichswebsite muss zusätzlich zu den Anforderungen nach § 17 Nummer 3 des Zahlungskontengesetzes sicherstellen, dass das Vergleichsergebnis für das Geldautomatennetz</w:t>
      </w:r>
    </w:p>
    <w:p>
      <w:pPr>
        <w:ind w:left="420"/>
      </w:pPr>
      <w:r>
        <w:t xml:space="preserve">1. als Geldautomaten nur Selbstbedienungsgeräte ausweist, die die Ausgabe von Bargeld ermöglichen und</w:t>
      </w:r>
    </w:p>
    <w:p>
      <w:pPr>
        <w:ind w:left="420"/>
      </w:pPr>
      <w:r>
        <w:t xml:space="preserve">2. nur solche Geldautomaten ausweist, an denen der Kunde die Geldausgabefunktion mit den zum Zahlungskonto ausgestellten Zahlungskarten unentgeltlich nutzen kann.</w:t>
      </w:r>
    </w:p>
    <w:p>
      <w:r>
        <w:rPr>
          <w:color w:val="555555"/>
          <w:sz w:val="17"/>
        </w:rPr>
        <w:t xml:space="preserve">Zitiervorschlag: § 5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