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VglWebV — Vergleichskriterium Filialnetz</w:t>
      </w:r>
    </w:p>
    <w:p>
      <w:r>
        <w:rPr>
          <w:color w:val="555555"/>
          <w:sz w:val="18"/>
        </w:rPr>
        <w:t xml:space="preserve">Vergleichswebsitesverordnung</w:t>
      </w:r>
    </w:p>
    <w:p>
      <w:r>
        <w:rPr>
          <w:color w:val="555555"/>
          <w:sz w:val="18"/>
        </w:rPr>
        <w:t xml:space="preserve">Historische Fassung: Stand 10.06.2019 bis 30.01.2024. Dies ist nicht die aktuelle Fassung.</w:t>
      </w:r>
    </w:p>
    <w:p>
      <w:r>
        <w:t xml:space="preserve">Der Betreiber einer Vergleichswebsite muss zur Erfüllung der Anforderungen nach § 17 Nummer 2 des Zahlungskontengesetzes sicherstellen, dass das Vergleichsergebnis für das Filialnetz diejenigen inländischen Zweigstellen ausweist, die ein Institut nach § 24 Absatz 1a Nummer 4 des Kreditwesengesetzes jährlich anzuzeigen hat.</w:t>
      </w:r>
    </w:p>
    <w:p>
      <w:r>
        <w:rPr>
          <w:color w:val="555555"/>
          <w:sz w:val="17"/>
        </w:rPr>
        <w:t xml:space="preserve">Zitiervorschlag: § 4 VglWebV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https://recht.nulegal.eu/gesetze/VglWebV/4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