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VglWebV — Anforderungen an Vergleichskriterien</w:t>
      </w:r>
    </w:p>
    <w:p>
      <w:r>
        <w:rPr>
          <w:color w:val="555555"/>
          <w:sz w:val="18"/>
        </w:rPr>
        <w:t xml:space="preserve">Vergleichswebsitesverordnung</w:t>
      </w:r>
    </w:p>
    <w:p>
      <w:r>
        <w:rPr>
          <w:color w:val="555555"/>
          <w:sz w:val="18"/>
        </w:rPr>
        <w:t xml:space="preserve">Historische Fassung: Stand 10.06.2019 bis 30.01.2024. Dies ist nicht die aktuelle Fassung.</w:t>
      </w:r>
    </w:p>
    <w:p>
      <w:r>
        <w:t xml:space="preserve">Der Betreiber einer Vergleichswebsite erfüllt die Anforderungen nach § 17 Nummer 1 und 4 des Zahlungskontengesetzes, wenn er die von der Bundesanstalt für Finanzdienstleistungsaufsicht nach § 47 Absatz 1 des Zahlungskontengesetzes veröffentlichte Liste der repräsentativsten mit einem Zahlungskonto verbundenen Dienste verwendet.</w:t>
      </w:r>
    </w:p>
    <w:p>
      <w:r>
        <w:rPr>
          <w:color w:val="555555"/>
          <w:sz w:val="17"/>
        </w:rPr>
        <w:t xml:space="preserve">Zitiervorschlag: § 3 VglWebV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https://recht.nulegal.eu/gesetze/VglWebV/3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