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VglWebV — Hinweispflichten des Betreibers einer Vergleichswebsite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Der Betreiber einer Vergleichswebsite muss auf der Vergleichswebsite darauf hinweisen, dass es sich um eine Vergleichswebsite nach dem Zahlungskontengesetz handelt.</w:t>
      </w:r>
    </w:p>
    <w:p>
      <w:r>
        <w:t xml:space="preserve">(2) Er muss den Hinweistext der Anlage 1 auf der Vergleichswebsite veröffentlichen.</w:t>
      </w:r>
    </w:p>
    <w:p>
      <w:r>
        <w:t xml:space="preserve">(3) Falls dem angebotenen Zahlungskontenvergleich keine vollständige Marktübersicht zugrunde liegt, muss darauf auf der Vergleichswebsite eindeutig hingewiesen werden.</w:t>
      </w:r>
    </w:p>
    <w:p>
      <w:r>
        <w:rPr>
          <w:color w:val="555555"/>
          <w:sz w:val="17"/>
        </w:rPr>
        <w:t xml:space="preserve">Zitiervorschlag: § 2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