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VglWebV — Bereitstellung der Vergleichskriterien durch die Zahlungsdienstleister</w:t>
      </w:r>
    </w:p>
    <w:p>
      <w:r>
        <w:rPr>
          <w:color w:val="555555"/>
          <w:sz w:val="18"/>
        </w:rPr>
        <w:t xml:space="preserve">Vergleichswebsitesverordnung</w:t>
      </w:r>
    </w:p>
    <w:p>
      <w:r>
        <w:rPr>
          <w:color w:val="555555"/>
          <w:sz w:val="18"/>
        </w:rPr>
        <w:t xml:space="preserve">Historische Fassung: Stand 10.06.2019 bis 30.01.2024. Dies ist nicht die aktuelle Fassung.</w:t>
      </w:r>
    </w:p>
    <w:p>
      <w:r>
        <w:t xml:space="preserve">(1) Zahlungsdienstleister stellen die Vergleichskriterien nach § 17 des Zahlungskontengesetzes in geeigneter Form auf ihrer Website bereit. Die Darstellung der Informationen richtet sich nach den Anforderungen des standardisierten Präsentationsformats, das von der Europäischen Kommission nach Artikel 4 Absatz 6 der Richtlinie 2014/92/EU des Europäischen Parlaments und des Rates vom 23. Juli 2014 über die Vergleichbarkeit von Zahlungskontoentgelten, den Wechsel von Zahlungskonten und den Zugang zu Zahlungskonten mit grundlegenden Funktionen (ABl. L 257 vom 28.8.2014, S. 214) festgelegt worden ist.</w:t>
      </w:r>
    </w:p>
    <w:p>
      <w:r>
        <w:t xml:space="preserve">(2) Die Bundesanstalt für Finanzdienstleistungsaufsicht veröffentlicht ein Muster für die Bereitstellung der Informationen zu den Vergleichskriterien Filialnetz (§ 17 Nummer 2 des Zahlungskontengesetzes) und Geldautomatennetz (§ 17 Nummer 3 des Zahlungskontengesetzes).</w:t>
      </w:r>
    </w:p>
    <w:p>
      <w:r>
        <w:t xml:space="preserve">(3) Zahlungsdienstleister stellen die Informationen nach § 17 Nummer 1 und 4 des Zahlungskontengesetzes jeweils aktualisiert bereit. Für die Kriterien Filialnetz und Geldautomatennetz ist eine jährliche Aktualisierung ausreichend.</w:t>
      </w:r>
    </w:p>
    <w:p>
      <w:r>
        <w:rPr>
          <w:color w:val="555555"/>
          <w:sz w:val="17"/>
        </w:rPr>
        <w:t xml:space="preserve">Zitiervorschlag: § 16 VglWebV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