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VglWebV — Akkreditierung von Konformitätsbewertungsstellen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Konformitätsbewertungsstellen sind erst dann zur Zertifizierung von Betreibern einer Website mit den Funktionen einer Vergleichswebsite nach dem Zahlungskontengesetz berechtigt, wenn sie für diesen Bereich bei der nationalen Akkreditierungsstelle gemäß ISO/IEC 17065 akkreditiert sind.</w:t>
      </w:r>
    </w:p>
    <w:p>
      <w:r>
        <w:t xml:space="preserve">(2) Zum Akkreditierungsverfahren wird auf Artikel 5 Absatz 1 der Verordnung (EG) Nr. 765/2008 in Verbindung mit § 1 Absatz 1 Satz 1 und § 2 Absatz 1 des Akkreditierungsstellengesetzes verwiesen.</w:t>
      </w:r>
    </w:p>
    <w:p>
      <w:r>
        <w:rPr>
          <w:color w:val="555555"/>
          <w:sz w:val="17"/>
        </w:rPr>
        <w:t xml:space="preserve">Zitiervorschlag: § 12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