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VglWebV — Pflichten gegenüber der Konformitätsbewertungsstelle</w:t>
      </w:r>
    </w:p>
    <w:p>
      <w:r>
        <w:rPr>
          <w:color w:val="555555"/>
          <w:sz w:val="18"/>
        </w:rPr>
        <w:t xml:space="preserve">Vergleichswebsitesverordnung</w:t>
      </w:r>
    </w:p>
    <w:p>
      <w:r>
        <w:rPr>
          <w:color w:val="555555"/>
          <w:sz w:val="18"/>
        </w:rPr>
        <w:t xml:space="preserve">Historische Fassung: Stand 10.06.2019 bis 30.01.2024. Dies ist nicht die aktuelle Fassung.</w:t>
      </w:r>
    </w:p>
    <w:p>
      <w:r>
        <w:t xml:space="preserve">(1) Der Betreiber ist verpflichtet, der Konformitätsbewertungsstelle</w:t>
      </w:r>
    </w:p>
    <w:p>
      <w:pPr>
        <w:ind w:left="420"/>
      </w:pPr>
      <w:r>
        <w:t xml:space="preserve">1. die Höhe und Art aller monetären und nichtmonetären Vergütungen offenzulegen, die zwischen ihm und Zahlungsdienstleistern oder Dritten vereinbart sind, wobei die einzelnen Zahlungsdienstleister oder Dritten jeweils zu benennen sind, und</w:t>
      </w:r>
    </w:p>
    <w:p>
      <w:pPr>
        <w:ind w:left="420"/>
      </w:pPr>
      <w:r>
        <w:t xml:space="preserve">2. auf Verlangen die Historie der Gewichtung und Priorisierung der Vergleichskriterien nach § 7 Absatz 1 Nummer 3 für jeden zurückliegenden Zeitpunkt ab der Zertifizierung zur Prüfung der Vorgaben nach § 18 Nummer 3 des Zahlungskontengesetzes unverzüglich zugänglich zu machen.</w:t>
      </w:r>
    </w:p>
    <w:p>
      <w:r>
        <w:t xml:space="preserve">(2) Zu Vergütungen nach Absatz 1 Nummer 1 gehören insbesondere direkte Provisionen, Klickgebühren und Werbeeinnahmen.</w:t>
      </w:r>
    </w:p>
    <w:p>
      <w:r>
        <w:rPr>
          <w:color w:val="555555"/>
          <w:sz w:val="17"/>
        </w:rPr>
        <w:t xml:space="preserve">Zitiervorschlag: § 11 VglWebV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https://recht.nulegal.eu/gesetze/VglWebV/11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