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VglWebV — Begriffsbestimmungen</w:t>
      </w:r>
    </w:p>
    <w:p>
      <w:r>
        <w:rPr>
          <w:color w:val="555555"/>
          <w:sz w:val="18"/>
        </w:rPr>
        <w:t xml:space="preserve">Vergleichswebsitesverordnung</w:t>
      </w:r>
    </w:p>
    <w:p>
      <w:r>
        <w:rPr>
          <w:color w:val="555555"/>
          <w:sz w:val="18"/>
        </w:rPr>
        <w:t xml:space="preserve">Historische Fassung: Stand 10.06.2019 bis 30.01.2024. Dies ist nicht die aktuelle Fassung.</w:t>
      </w:r>
    </w:p>
    <w:p>
      <w:r>
        <w:t xml:space="preserve">(1) Vergleichswebsite ist eine Website im Sinne des § 16 Absatz 1 des Zahlungskontengesetzes.</w:t>
      </w:r>
    </w:p>
    <w:p>
      <w:r>
        <w:t xml:space="preserve">(2) Akkreditierung ist die amtliche Bestätigung der Kompetenz und Unabhängigkeit einer Konformitätsbewertungsstelle durch die nationale Akkreditierungsstelle im Sinne des Artikels 2 Nummer 10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w:t>
      </w:r>
    </w:p>
    <w:p>
      <w:r>
        <w:t xml:space="preserve">(3) Nationale Akkreditierungsstelle im Sinne des Artikels 2 Nummer 11 der Verordnung (EG) Nr. 765/2008 ist die Deutsche Akkreditierungsstelle GmbH (Deutsche Akkreditierungsstelle) nach § 1 Absatz 1 der AkkStelleG-Beleihungsverordnung.</w:t>
      </w:r>
    </w:p>
    <w:p>
      <w:r>
        <w:t xml:space="preserve">(4) Konformitätsbewertung ist das Verfahren im Sinne des Artikels 2 Nummer 12 der Verordnung (EG) Nr. 765/2008.</w:t>
      </w:r>
    </w:p>
    <w:p>
      <w:r>
        <w:t xml:space="preserve">(5) Konformitätsbewertungsstelle ist eine Stelle im Sinne des Artikels 2 Nummer 13 der Verordnung (EG) Nr. 765/2008.</w:t>
      </w:r>
    </w:p>
    <w:p>
      <w:r>
        <w:t xml:space="preserve">(6) Betreiber einer Vergleichswebsite ist, wer entgeltfrei auf seiner Website den Zahlungskontenvergleich nach § 16 Absatz 1 des Zahlungskontengesetzes durchführt und das Ergebnis des Zahlungskontenvergleichs dem Verbraucher unterbreitet.</w:t>
      </w:r>
    </w:p>
    <w:p>
      <w:r>
        <w:rPr>
          <w:color w:val="555555"/>
          <w:sz w:val="17"/>
        </w:rPr>
        <w:t xml:space="preserve">Zitiervorschlag: § 1 VglWebV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https://recht.nulegal.eu/gesetze/VglWebV/1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