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VglWebMV — Inkrafttreten</w:t>
      </w:r>
    </w:p>
    <w:p>
      <w:r>
        <w:rPr>
          <w:color w:val="555555"/>
          <w:sz w:val="18"/>
        </w:rPr>
        <w:t xml:space="preserve">Vergleichswebsitemeldeverordnung</w:t>
      </w:r>
    </w:p>
    <w:p>
      <w:r>
        <w:rPr>
          <w:color w:val="555555"/>
          <w:sz w:val="18"/>
        </w:rPr>
        <w:t xml:space="preserve">Stand: 02.03.2024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VglWebMV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https://recht.nulegal.eu/gesetze/VglWebMV/6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