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VglWebMV — Ordnungsgemäße Datenübermittlung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(1) Bei der Meldung muss der Zahlungsdienstleister die ordnungsgemäße Datenübermittlung sicherstellen.</w:t>
      </w:r>
    </w:p>
    <w:p>
      <w:r>
        <w:t xml:space="preserve">(2) Für die ordnungsgemäße Datenübermittlung veröffentlicht die Bundesanstalt für Finanzdienstleistungsaufsicht über die Meldeplattform und auf ihrer Internetseite Informationen und Hinweise</w:t>
      </w:r>
    </w:p>
    <w:p>
      <w:pPr>
        <w:ind w:left="420"/>
      </w:pPr>
      <w:r>
        <w:t xml:space="preserve">1. zur Meldung,</w:t>
      </w:r>
    </w:p>
    <w:p>
      <w:pPr>
        <w:ind w:left="420"/>
      </w:pPr>
      <w:r>
        <w:t xml:space="preserve">2. zum elektronischen Einreichungsweg,</w:t>
      </w:r>
    </w:p>
    <w:p>
      <w:pPr>
        <w:ind w:left="420"/>
      </w:pPr>
      <w:r>
        <w:t xml:space="preserve">3. zu den Datenformaten, die bei der Meldung zu verwenden sind, und</w:t>
      </w:r>
    </w:p>
    <w:p>
      <w:pPr>
        <w:ind w:left="420"/>
      </w:pPr>
      <w:r>
        <w:t xml:space="preserve">4. zu den nach § 2 zu meldenden Daten.</w:t>
      </w:r>
    </w:p>
    <w:p>
      <w:r>
        <w:t xml:space="preserve">(3) Die von der Bundesanstalt für Finanzdienstleistungsaufsicht veröffentlichten Informationen und Hinweise müssen vom Zahlungsdienstleister beachtet werden. Weitere als die nach § 2 zu meldenden Daten darf er in der Meldung nicht übermitteln.</w:t>
      </w:r>
    </w:p>
    <w:p>
      <w:r>
        <w:rPr>
          <w:color w:val="555555"/>
          <w:sz w:val="17"/>
        </w:rPr>
        <w:t xml:space="preserve">Zitiervorschlag: § 5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