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VglWebMV — Form der Meldung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(1) Der Zahlungsdienstleister muss alle Daten zu den jeweils angebotenen Zahlungskonten, zu deren Meldung er nach § 17 Absatz 2 Satz 1 des Zahlungskontengesetzes in Verbindung mit § 2 verpflichtet ist, in einem einheitlichen und vollständigen Datensatz zusammenfassen. In einem einheitlichen und vollständigen Datensatz zusammenzufassen sind auch jeweils</w:t>
      </w:r>
    </w:p>
    <w:p>
      <w:pPr>
        <w:ind w:left="420"/>
      </w:pPr>
      <w:r>
        <w:t xml:space="preserve">1. die Meldungen nach § 17 Absatz 2 Satz 2 und 3 des Zahlungskontengesetzes in Verbindung mit § 2 und</w:t>
      </w:r>
    </w:p>
    <w:p>
      <w:pPr>
        <w:ind w:left="420"/>
      </w:pPr>
      <w:r>
        <w:t xml:space="preserve">2. die Meldungen zur Berichtigung unrichtig gemeldeter Daten, die auf der Vergleichswebsite angezeigt werden.</w:t>
      </w:r>
    </w:p>
    <w:p>
      <w:r>
        <w:t xml:space="preserve">(2) Die Meldung muss elektronisch über die Meldeplattform der Bundesanstalt für Finanzdienstleistungsaufsicht erfolgen. Für die Meldung ist das hierfür bereitgestellte Fachverfahren zu verwenden.</w:t>
      </w:r>
    </w:p>
    <w:p>
      <w:r>
        <w:rPr>
          <w:color w:val="555555"/>
          <w:sz w:val="17"/>
        </w:rPr>
        <w:t xml:space="preserve">Zitiervorschlag: § 4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