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VglWebMV — Frist für die erstmalige Umsetzung der Meldeverpflichtung</w:t>
      </w:r>
    </w:p>
    <w:p>
      <w:r>
        <w:rPr>
          <w:color w:val="555555"/>
          <w:sz w:val="18"/>
        </w:rPr>
        <w:t xml:space="preserve">Vergleichswebsitemeldeverordnung</w:t>
      </w:r>
    </w:p>
    <w:p>
      <w:r>
        <w:rPr>
          <w:color w:val="555555"/>
          <w:sz w:val="18"/>
        </w:rPr>
        <w:t xml:space="preserve">Stand: 02.03.2024 (konsolidierte Textfassung, kein amtliches Inkrafttretensdatum)</w:t>
      </w:r>
    </w:p>
    <w:p>
      <w:r>
        <w:t xml:space="preserve">Die erste Meldung nach § 17 Absatz 2 Satz 1 des Zahlungskontengesetzes in Verbindung mit § 2 muss im Zeitraum vom 1. September 2024 bis 30. September 2024 erfolgen.</w:t>
      </w:r>
    </w:p>
    <w:p>
      <w:r>
        <w:rPr>
          <w:color w:val="555555"/>
          <w:sz w:val="17"/>
        </w:rPr>
        <w:t xml:space="preserve">Zitiervorschlag: § 3 VglWebMV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