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VglWebMV — Zu meldende Daten</w:t>
      </w:r>
    </w:p>
    <w:p>
      <w:r>
        <w:rPr>
          <w:color w:val="555555"/>
          <w:sz w:val="18"/>
        </w:rPr>
        <w:t xml:space="preserve">Vergleichswebsitemeldeverordnung</w:t>
      </w:r>
    </w:p>
    <w:p>
      <w:r>
        <w:rPr>
          <w:color w:val="555555"/>
          <w:sz w:val="18"/>
        </w:rPr>
        <w:t xml:space="preserve">Stand: 02.03.2024 (konsolidierte Textfassung, kein amtliches Inkrafttretensdatum)</w:t>
      </w:r>
    </w:p>
    <w:p>
      <w:r>
        <w:t xml:space="preserve">(1) Die Meldeverpflichtung nach § 17 Absatz 2 des Zahlungskontengesetzes umfasst für jedes von einem Zahlungsdienstleister für Verbraucher angebotene Zahlungskonto die folgenden Daten:</w:t>
      </w:r>
    </w:p>
    <w:p>
      <w:pPr>
        <w:ind w:left="420"/>
      </w:pPr>
      <w:r>
        <w:t xml:space="preserve">1. den Namen des Zahlungsdienstleisters,</w:t>
      </w:r>
    </w:p>
    <w:p>
      <w:pPr>
        <w:ind w:left="420"/>
      </w:pPr>
      <w:r>
        <w:t xml:space="preserve">2. die weitere Bezeichnung des Zahlungsdienstleisters oder der Niederlassung des Zahlungsdienstleisters, unter der er das Zahlungskonto anbietet,</w:t>
      </w:r>
    </w:p>
    <w:p>
      <w:pPr>
        <w:ind w:left="420"/>
      </w:pPr>
      <w:r>
        <w:t xml:space="preserve">3. die Internetadresse des Zahlungsdienstleisters,</w:t>
      </w:r>
    </w:p>
    <w:p>
      <w:pPr>
        <w:ind w:left="420"/>
      </w:pPr>
      <w:r>
        <w:t xml:space="preserve">4. eine Kontaktmöglichkeit für eine Verbrauchermeldung an den Zahlungsdienstleister,</w:t>
      </w:r>
    </w:p>
    <w:p>
      <w:pPr>
        <w:ind w:left="420"/>
      </w:pPr>
      <w:r>
        <w:t xml:space="preserve">5. die Produktbezeichnung des Zahlungskontos,</w:t>
      </w:r>
    </w:p>
    <w:p>
      <w:pPr>
        <w:ind w:left="420"/>
      </w:pPr>
      <w:r>
        <w:t xml:space="preserve">6. das Datum der Meldung sowie</w:t>
      </w:r>
    </w:p>
    <w:p>
      <w:pPr>
        <w:ind w:left="420"/>
      </w:pPr>
      <w:r>
        <w:t xml:space="preserve">7. die in der Anlage genannten Vergleichskriterien und die zu diesen Vergleichskriterien nach der Anlage zu meldenden Daten.</w:t>
      </w:r>
    </w:p>
    <w:p>
      <w:r>
        <w:t xml:space="preserve">(2) Die Meldeverpflichtung nach § 17 Absatz 2 Satz 2 und 3 des Zahlungskontengesetzes umfasst auch die Meldung der Daten zur Berichtigung unrichtig gemeldeter Daten.</w:t>
      </w:r>
    </w:p>
    <w:p>
      <w:r>
        <w:rPr>
          <w:color w:val="555555"/>
          <w:sz w:val="17"/>
        </w:rPr>
        <w:t xml:space="preserve">Zitiervorschlag: § 2 VglWebMV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https://recht.nulegal.eu/gesetze/VglWebMV/2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