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VglWebMV — Regelungsgegenstand</w:t>
      </w:r>
    </w:p>
    <w:p>
      <w:r>
        <w:rPr>
          <w:color w:val="555555"/>
          <w:sz w:val="18"/>
        </w:rPr>
        <w:t xml:space="preserve">Vergleichswebsitemeldeverordnung</w:t>
      </w:r>
    </w:p>
    <w:p>
      <w:r>
        <w:rPr>
          <w:color w:val="555555"/>
          <w:sz w:val="18"/>
        </w:rPr>
        <w:t xml:space="preserve">Stand: 02.03.2024 (konsolidierte Textfassung, kein amtliches Inkrafttretensdatum)</w:t>
      </w:r>
    </w:p>
    <w:p>
      <w:r>
        <w:t xml:space="preserve">Diese Verordnung trifft Regelungen</w:t>
      </w:r>
    </w:p>
    <w:p>
      <w:pPr>
        <w:ind w:left="420"/>
      </w:pPr>
      <w:r>
        <w:t xml:space="preserve">1. zur Meldung von Daten für die Vergleichwebsite nach dem Zahlungskontengesetz und</w:t>
      </w:r>
    </w:p>
    <w:p>
      <w:pPr>
        <w:ind w:left="420"/>
      </w:pPr>
      <w:r>
        <w:t xml:space="preserve">2. zur Konkretisierung und Ergänzung der Vergleichskriterien.</w:t>
      </w:r>
    </w:p>
    <w:p>
      <w:r>
        <w:rPr>
          <w:color w:val="555555"/>
          <w:sz w:val="17"/>
        </w:rPr>
        <w:t xml:space="preserve">Zitiervorschlag: § 1 VglWebMV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