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1 VgV 2016 — (zu § 31 Absatz 2) Technische Anforderungen, Begriffsbestimmungen</w:t>
      </w:r>
    </w:p>
    <w:p>
      <w:r>
        <w:rPr>
          <w:color w:val="555555"/>
          <w:sz w:val="18"/>
        </w:rPr>
        <w:t xml:space="preserve">Vergabeverordnung</w:t>
      </w:r>
    </w:p>
    <w:p>
      <w:r>
        <w:rPr>
          <w:color w:val="555555"/>
          <w:sz w:val="18"/>
        </w:rPr>
        <w:t xml:space="preserve">Stand: 10.06.2019 (konsolidierte Textfassung, kein amtliches Inkrafttretensdatum)</w:t>
      </w:r>
    </w:p>
    <w:p>
      <w:r>
        <w:t xml:space="preserve">(Fundstelle: BGBl. I 2016, 654)</w:t>
      </w:r>
    </w:p>
    <w:p>
      <w:pPr>
        <w:ind w:left="420"/>
      </w:pPr>
      <w:r>
        <w:t xml:space="preserve">1. „Technische Spezifikation“ bei Liefer- oder Dienstleistungen hat eine der folgenden Bedeutungen:eine Spezifikation, die in einem Schriftstück enthalten ist, das Merkmale für ein Produkt oder eine Dienstleistung vorschreibt, wie Qualitätsstufen, Umwelt- und Klimaleistungsstufen, „Design für Alle“ (einschließlich des Zugangs von Menschen mit Behinderungen) und Konformitätsbewertung, Leistung, Vorgaben für Gebrauchstauglichkeit, Sicherheit oder Abmessungen des Produkts, einschließlich der Vorschriften über Verkaufsbezeichnung, Terminologie, Symbole, Prüfungen und Prüfverfahren, Verpackung, Kennzeichnung und Beschriftung, Gebrauchsanleitungen, Produktionsprozesse und -methoden in jeder Phase des Lebenszyklus der Liefer- oder Dienstleistung sowie über Konformitätsbewertungsverfahren;</w:t>
      </w:r>
    </w:p>
    <w:p>
      <w:pPr>
        <w:ind w:left="420"/>
      </w:pPr>
      <w:r>
        <w:t xml:space="preserve">2. „Norm“ bezeichnet eine technische Spezifikation, die von einer anerkannten Normungsorganisation zur wiederholten oder ständigen Anwendung angenommen wurde, deren Einhaltung nicht zwingend ist und die unter eine der nachstehenden Kategorien fällt:</w:t>
      </w:r>
    </w:p>
    <w:p>
      <w:pPr>
        <w:ind w:left="780"/>
      </w:pPr>
      <w:r>
        <w:t xml:space="preserve">a) internationale Norm: Norm, die von einer internationalen Normungsorganisation angenommen wurde und der Öffentlichkeit zugänglich ist;</w:t>
      </w:r>
    </w:p>
    <w:p>
      <w:pPr>
        <w:ind w:left="780"/>
      </w:pPr>
      <w:r>
        <w:t xml:space="preserve">b) europäische Norm: Norm, die von einer europäischen Normungsorganisation angenommen wurde und der Öffentlichkeit zugänglich ist;</w:t>
      </w:r>
    </w:p>
    <w:p>
      <w:pPr>
        <w:ind w:left="780"/>
      </w:pPr>
      <w:r>
        <w:t xml:space="preserve">c) nationale Norm: Norm, die von einer nationalen Normungsorganisation angenommen wurde und der Öffentlichkeit zugänglich ist;</w:t>
      </w:r>
    </w:p>
    <w:p>
      <w:pPr>
        <w:ind w:left="420"/>
      </w:pPr>
      <w:r>
        <w:t xml:space="preserve">3. „Europäische Technische Bewertung“ bezeichnet eine dokumentierte Bewertung der Leistung eines Bauprodukts in Bezug auf seine wesentlichen Merkmale im Einklang mit dem betreffenden Europäischen Bewertungsdokument gemäß der Begriffsbestimmung in Artikel 2 Nummer 12 der Verordnung (EU) Nr. 305/2011 des Europäischen Parlaments und des Rates vom 9. März 2011 zur Festlegung harmonisierter Bedingungen für die Vermarktung von Bauprodukten und zur Aufhebung der Richtlinie 89/106/EWG des Rates (ABl. L 88 vom 4.4.2011, S. 5);</w:t>
      </w:r>
    </w:p>
    <w:p>
      <w:pPr>
        <w:ind w:left="420"/>
      </w:pPr>
      <w:r>
        <w:t xml:space="preserve">4. „gemeinsame technische Spezifikationen“ sind technische Spezifikationen im Bereich der Informations- und Kommunikationstechnologie, die gemäß den Artikeln 13 und 14 der Verordnung (EU) Nr. 1025/2012 des Europäischen Parlaments und des Rates vom 25. Oktober 2012 zur europäischen Normung, zur Änderung der Richtlinien 89/686/EWG und 93/15/EWG des Rates sowie der Richtlinien 94/9/EG, 94/25/EG, 95/16/EG, 97/23/EG, 98/34/EG, 2004/22/EG, 2007/23/EG, 2009/23/EG und 2009/105/EG des Europäischen Parlaments und des Rates und zur Aufhebung des Beschlusses 87/95/EWG des Rates und des Beschlusses Nr. 1673/2006/EG des Europäischen Parlaments und des Rates (ABl. L 316 vom 14.11.2012, S. 12) festgelegt wurden;</w:t>
      </w:r>
    </w:p>
    <w:p>
      <w:pPr>
        <w:ind w:left="420"/>
      </w:pPr>
      <w:r>
        <w:t xml:space="preserve">5. „technische Bezugsgröße“ bezeichnet jeden Bezugsrahmen, der keine europäische Norm ist und von den europäischen Normungsorganisationen nach den an die Bedürfnisse des Markts angepassten Verfahren erarbeitet wurde.</w:t>
      </w:r>
    </w:p>
    <w:p>
      <w:r>
        <w:rPr>
          <w:color w:val="555555"/>
          <w:sz w:val="17"/>
        </w:rPr>
        <w:t xml:space="preserve">Zitiervorschlag: Anlage 1 VgV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https://recht.nulegal.eu/gesetze/VgV%202016/anlage-1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