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VgV 2016 — Zuschlag</w:t>
      </w:r>
    </w:p>
    <w:p>
      <w:r>
        <w:rPr>
          <w:color w:val="555555"/>
          <w:sz w:val="18"/>
        </w:rPr>
        <w:t xml:space="preserve">Vergabeverordnung</w:t>
      </w:r>
    </w:p>
    <w:p>
      <w:r>
        <w:rPr>
          <w:color w:val="555555"/>
          <w:sz w:val="18"/>
        </w:rPr>
        <w:t xml:space="preserve">Stand: 20.11.2020 (konsolidierte Textfassung, kein amtliches Inkrafttretensdatum)</w:t>
      </w:r>
    </w:p>
    <w:p>
      <w:r>
        <w:t xml:space="preserve">(1) Architekten- und Ingenieurleistungen werden im Leistungswettbewerb vergeben. Auf die zu erbringende Leistung anwendbare Gebühren- oder Honorarordnungen bleiben unberührt.</w:t>
      </w:r>
    </w:p>
    <w:p>
      <w:r>
        <w:t xml:space="preserve">(2) Die Ausarbeitung von Lösungsvorschlägen der gestellten Aufgabe kann der öffentliche Auftraggeber nur im Rahmen eines Planungswettbewerbs, eines Verhandlungsverfahrens oder eines wettbewerblichen Dialogs verlangen. Die Erstattung der Kosten richtet sich nach § 77. Unaufgefordert eingereichte Ausarbeitungen bleiben unberücksichtigt.</w:t>
      </w:r>
    </w:p>
    <w:p>
      <w:r>
        <w:rPr>
          <w:color w:val="555555"/>
          <w:sz w:val="17"/>
        </w:rPr>
        <w:t xml:space="preserve">Zitiervorschlag: § 76 VgV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https://recht.nulegal.eu/gesetze/VgV%202016/76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