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VgV 2016 — Anwendungsbereich und Grundsätze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20.11.2020 (konsolidierte Textfassung, kein amtliches Inkrafttretensdatum)</w:t>
      </w:r>
    </w:p>
    <w:p>
      <w:r>
        <w:t xml:space="preserve">(1) Die Bestimmungen dieses Abschnitts gelten zusätzlich für die Vergabe von Architekten- und Ingenieurleistungen, deren Gegenstand eine Aufgabe ist, deren Lösung vorab nicht eindeutig und erschöpfend beschrieben werden kann.</w:t>
      </w:r>
    </w:p>
    <w:p>
      <w:r>
        <w:t xml:space="preserve">(2) Architekten- und Ingenieurleistungen sind</w:t>
      </w:r>
    </w:p>
    <w:p>
      <w:pPr>
        <w:ind w:left="420"/>
      </w:pPr>
      <w:r>
        <w:t xml:space="preserve">1. Leistungen, die von der Honorarordnung für Architekten und Ingenieure erfasst werden, und</w:t>
      </w:r>
    </w:p>
    <w:p>
      <w:pPr>
        <w:ind w:left="420"/>
      </w:pPr>
      <w:r>
        <w:t xml:space="preserve">2. sonstige Leistungen, für die die berufliche Qualifikation des Architekten oder Ingenieurs erforderlich ist oder vom öffentlichen Auftraggeber gefordert wird.</w:t>
      </w:r>
    </w:p>
    <w:p>
      <w:r>
        <w:t xml:space="preserve">(3) Aufträge über Leistungen nach Absatz 1 sollen unabhängig von Ausführungs- und Lieferinteressen vergeben werden.</w:t>
      </w:r>
    </w:p>
    <w:p>
      <w:r>
        <w:rPr>
          <w:color w:val="555555"/>
          <w:sz w:val="17"/>
        </w:rPr>
        <w:t xml:space="preserve">Zitiervorschlag: § 73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