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VgV 2016 — Anwendungsbereich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Wettbewerbe nach § 103 Absatz 6 des Gesetzes gegen Wettbewerbsbeschränkungen werden insbesondere auf den Gebieten der Raumplanung, des Städtebaus und des Bauwesens oder der Datenverarbeitung durchgeführt (Planungswettbewerbe).</w:t>
      </w:r>
    </w:p>
    <w:p>
      <w:r>
        <w:t xml:space="preserve">(2) Bei der Durchführung eines Planungswettbewerbs wendet der öffentliche Auftraggeber die §§ 5, 6 und 43 und die Vorschriften dieses Abschnitts an.</w:t>
      </w:r>
    </w:p>
    <w:p>
      <w:r>
        <w:rPr>
          <w:color w:val="555555"/>
          <w:sz w:val="17"/>
        </w:rPr>
        <w:t xml:space="preserve">Zitiervorschlag: § 69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