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VgV 2016 — Ausführungsbedingungen</w:t>
      </w:r>
    </w:p>
    <w:p>
      <w:r>
        <w:rPr>
          <w:color w:val="555555"/>
          <w:sz w:val="18"/>
        </w:rPr>
        <w:t xml:space="preserve">Vergabeverordnung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Beleg, dass die angebotene Leistung den geforderten Ausführungsbedingungen gemäß § 128 Absatz 2 des Gesetzes gegen Wettbewerbsbeschränkungen entspricht, gelten die §§ 33 und 34 entsprechend.</w:t>
      </w:r>
    </w:p>
    <w:p>
      <w:r>
        <w:rPr>
          <w:color w:val="555555"/>
          <w:sz w:val="17"/>
        </w:rPr>
        <w:t xml:space="preserve">Zitiervorschlag: § 61 VgV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https://recht.nulegal.eu/gesetze/VgV%202016/61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