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VgV 2016 — Berechnung von Lebenszykluskosten</w:t>
      </w:r>
    </w:p>
    <w:p>
      <w:r>
        <w:rPr>
          <w:color w:val="555555"/>
          <w:sz w:val="18"/>
        </w:rPr>
        <w:t xml:space="preserve">Vergabeverordnung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öffentliche Auftraggeber kann vorgeben, dass das Zuschlagskriterium „Kosten“ auf der Grundlage der Lebenszykluskosten der Leistung berechnet wird.</w:t>
      </w:r>
    </w:p>
    <w:p>
      <w:r>
        <w:t xml:space="preserve">(2) Der öffentliche Auftraggeber gibt die Methode zur Berechnung der Lebenszykluskosten und die zur Berechnung vom Unternehmen zu übermittelnden Informationen in der Auftragsbekanntmachung oder den Vergabeunterlagen an. Die Berechnungsmethode kann umfassen</w:t>
      </w:r>
    </w:p>
    <w:p>
      <w:pPr>
        <w:ind w:left="420"/>
      </w:pPr>
      <w:r>
        <w:t xml:space="preserve">1. die Anschaffungskosten,</w:t>
      </w:r>
    </w:p>
    <w:p>
      <w:pPr>
        <w:ind w:left="420"/>
      </w:pPr>
      <w:r>
        <w:t xml:space="preserve">2. die Nutzungskosten, insbesondere den Verbrauch von Energie und anderen Ressourcen,</w:t>
      </w:r>
    </w:p>
    <w:p>
      <w:pPr>
        <w:ind w:left="420"/>
      </w:pPr>
      <w:r>
        <w:t xml:space="preserve">3. die Wartungskosten,</w:t>
      </w:r>
    </w:p>
    <w:p>
      <w:pPr>
        <w:ind w:left="420"/>
      </w:pPr>
      <w:r>
        <w:t xml:space="preserve">4. Kosten am Ende der Nutzungsdauer, insbesondere die Abholungs-, Entsorgungs- oder Recyclingkosten, oder</w:t>
      </w:r>
    </w:p>
    <w:p>
      <w:pPr>
        <w:ind w:left="420"/>
      </w:pPr>
      <w:r>
        <w:t xml:space="preserve">5. Kosten, die durch die externen Effekte der Umweltbelastung entstehen, die mit der Leistung während ihres Lebenszyklus in Verbindung stehen, sofern ihr Geldwert nach Absatz 3 bestimmt und geprüft werden kann; solche Kosten können Kosten der Emission von Treibhausgasen und anderen Schadstoffen sowie sonstige Kosten für die Eindämmung des Klimawandels umfassen.</w:t>
      </w:r>
    </w:p>
    <w:p>
      <w:r>
        <w:t xml:space="preserve">(3) Die Methode zur Berechnung der Kosten, die durch die externen Effekte der Umweltbelastung entstehen, muss folgende Bedingungen erfüllen:</w:t>
      </w:r>
    </w:p>
    <w:p>
      <w:pPr>
        <w:ind w:left="420"/>
      </w:pPr>
      <w:r>
        <w:t xml:space="preserve">1. sie beruht auf objektiv nachprüfbaren und nichtdiskriminierenden Kriterien; ist die Methode nicht für die wiederholte oder dauerhafte Anwendung entwickelt worden, darf sie bestimmte Unternehmen weder bevorzugen noch benachteiligen,</w:t>
      </w:r>
    </w:p>
    <w:p>
      <w:pPr>
        <w:ind w:left="420"/>
      </w:pPr>
      <w:r>
        <w:t xml:space="preserve">2. sie ist für alle interessierten Beteiligten zugänglich und</w:t>
      </w:r>
    </w:p>
    <w:p>
      <w:pPr>
        <w:ind w:left="420"/>
      </w:pPr>
      <w:r>
        <w:t xml:space="preserve">3. die zur Berechnung erforderlichen Informationen lassen sich von Unternehmen, die ihrer Sorgfaltspflicht im üblichen Maße nachkommen, einschließlich Unternehmen aus Drittstaaten, die dem Übereinkommen über das öffentliche Beschaffungswesen von 1994 (ABl. C 256 vom 3.9.1996, S. 1), geändert durch das Protokoll zur Änderung des Übereinkommens über das öffentliche Beschaffungswesen (ABl. L 68 vom 7.3.2014, S. 2) oder anderen, für die Europäische Union bindenden internationalen Übereinkommen beigetreten sind, mit angemessenem Aufwand bereitstellen.</w:t>
      </w:r>
    </w:p>
    <w:p>
      <w:r>
        <w:t xml:space="preserve">(4) Sofern eine Methode zur Berechnung der Lebenszykluskosten durch einen Rechtsakt der Europäischen Union verbindlich vorgeschrieben worden ist, hat der öffentliche Auftraggeber diese Methode vorzugeben.</w:t>
      </w:r>
    </w:p>
    <w:p>
      <w:r>
        <w:rPr>
          <w:color w:val="555555"/>
          <w:sz w:val="17"/>
        </w:rPr>
        <w:t xml:space="preserve">Zitiervorschlag: § 59 VgV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https://recht.nulegal.eu/gesetze/VgV%202016/59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