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VgV 2016 — Zuschlag und Zuschlagskriterien</w:t>
      </w:r>
    </w:p>
    <w:p>
      <w:r>
        <w:rPr>
          <w:color w:val="555555"/>
          <w:sz w:val="18"/>
        </w:rPr>
        <w:t xml:space="preserve">Vergabeverordnung</w:t>
      </w:r>
    </w:p>
    <w:p>
      <w:r>
        <w:rPr>
          <w:color w:val="555555"/>
          <w:sz w:val="18"/>
        </w:rPr>
        <w:t xml:space="preserve">Stand: 01.07.2026 (konsolidierte Textfassung, kein amtliches Inkrafttretensdatum)</w:t>
      </w:r>
    </w:p>
    <w:p>
      <w:r>
        <w:t xml:space="preserve">(1) Der Zuschlag wird nach Maßgabe des § 127 des Gesetzes gegen Wettbewerbsbeschränkungen auf das wirtschaftlichste Angebot erteilt.</w:t>
      </w:r>
    </w:p>
    <w:p>
      <w:r>
        <w:t xml:space="preserve">(2) Die Ermittlung des wirtschaftlichsten Angebots erfolgt auf der Grundlage des besten Preis-Leistungs-Verhältnisses. Neben dem Preis oder den Kosten können auch qualitative, umweltbezogene oder soziale Zuschlagskriterien berücksichtigt werden, insbesondere:</w:t>
      </w:r>
    </w:p>
    <w:p>
      <w:pPr>
        <w:ind w:left="420"/>
      </w:pPr>
      <w:r>
        <w:t xml:space="preserve">1. die Qualität, einschließlich des technischen Werts, Ästhetik, Zweckmäßigkeit, Zugänglichkeit der Leistung insbesondere für Menschen mit Behinderungen, ihrer Übereinstimmung mit Anforderungen des „Designs für Alle“, soziale, umweltbezogene und innovative Eigenschaften sowie Vertriebs- und Handelsbedingungen,</w:t>
      </w:r>
    </w:p>
    <w:p>
      <w:pPr>
        <w:ind w:left="420"/>
      </w:pPr>
      <w:r>
        <w:t xml:space="preserve">2. die Organisation, Qualifikation und Erfahrung des mit der Ausführung des Auftrags betrauten Personals, wenn die Qualität des eingesetzten Personals erheblichen Einfluss auf das Niveau der Auftragsausführung haben kann,</w:t>
      </w:r>
    </w:p>
    <w:p>
      <w:pPr>
        <w:ind w:left="420"/>
      </w:pPr>
      <w:r>
        <w:t xml:space="preserve">3. die Verfügbarkeit von Kundendienst und technischer Hilfe sowie Lieferbedingungen wie Liefertermin, Lieferverfahren sowie Liefer- oder Ausführungsfristen oder</w:t>
      </w:r>
    </w:p>
    <w:p>
      <w:pPr>
        <w:ind w:left="420"/>
      </w:pPr>
      <w:r>
        <w:t xml:space="preserve">4. Aspekte der digitalen Souveränität.</w:t>
      </w:r>
    </w:p>
    <w:p>
      <w:r>
        <w:t xml:space="preserve">Der öffentliche Auftraggeber kann auch Festpreise oder Festkosten vorgeben, sodass das wirtschaftlichste Angebot ausschließlich nach qualitativen, umweltbezogenen oder sozialen Zuschlagskriterien nach Satz 1 bestimmt wird.</w:t>
      </w:r>
    </w:p>
    <w:p>
      <w:r>
        <w:t xml:space="preserve">(3) Der öffentliche Auftraggeber gibt in der Auftragsbekanntmachung oder den Vergabeunterlagen an, wie er die einzelnen Zuschlagskriterien gewichtet, um das wirtschaftlichste Angebot zu ermitteln. Diese Gewichtung kann auch mittels einer Spanne angegeben werden, deren Bandbreite angemessen sein muss. Ist die Gewichtung aus objektiven Gründen nicht möglich, so gibt der öffentliche Auftraggeber die Zuschlagskriterien in absteigender Rangfolge an.</w:t>
      </w:r>
    </w:p>
    <w:p>
      <w:r>
        <w:t xml:space="preserve">(4) Für den Beleg, ob und inwieweit die angebotene Leistung den geforderten Zuschlagskriterien entspricht, gelten die §§ 33 und 34 entsprechend.</w:t>
      </w:r>
    </w:p>
    <w:p>
      <w:r>
        <w:t xml:space="preserve">(5) An der Entscheidung über den Zuschlag sollen in der Regel mindestens zwei Vertreter des öffentlichen Auftraggebers mitwirken.</w:t>
      </w:r>
    </w:p>
    <w:p>
      <w:r>
        <w:rPr>
          <w:color w:val="555555"/>
          <w:sz w:val="17"/>
        </w:rPr>
        <w:t xml:space="preserve">Zitiervorschlag: § 58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