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VgV 2016 — Prüfung der Interessensbestätigungen, Teilnahmeanträge und Angebote; Nachforderung von Unterlagen</w:t>
      </w:r>
    </w:p>
    <w:p>
      <w:r>
        <w:rPr>
          <w:color w:val="555555"/>
          <w:sz w:val="18"/>
        </w:rPr>
        <w:t xml:space="preserve">Vergabeverordnung</w:t>
      </w:r>
    </w:p>
    <w:p>
      <w:r>
        <w:rPr>
          <w:color w:val="555555"/>
          <w:sz w:val="18"/>
        </w:rPr>
        <w:t xml:space="preserve">Stand: 01.07.2026 (konsolidierte Textfassung, kein amtliches Inkrafttretensdatum)</w:t>
      </w:r>
    </w:p>
    <w:p>
      <w:r>
        <w:t xml:space="preserve">(1) Die Interessensbestätigungen, Teilnahmeanträge und Angebote sind auf Vollständigkeit und fachliche Richtigkeit, Angebote zudem auf rechnerische Richtigkeit zu prüfen.</w:t>
      </w:r>
    </w:p>
    <w:p>
      <w:r>
        <w:t xml:space="preserve">(2) Der öffentliche Auftraggeber kann den Bewerber oder Bieter unter Einhaltung der Grundsätze der Transparenz und der Gleichbehandlung auffordern, fehlende Unterlagen zu übermitteln oder unvollständige oder fehlerhafte Unterlagen zu ergänzen, zu erläutern, zu vervollständigen oder zu korrigieren. Der öffentliche Auftraggeber ist berechtigt, in der Auftragsbekanntmachung oder den Vergabeunterlagen festzulegen, dass er keine Unterlagen nachfordern wird.</w:t>
      </w:r>
    </w:p>
    <w:p>
      <w:r>
        <w:t xml:space="preserve">(3) Die Nachforderung von leistungsbezogenen Unterlagen, die die Wirtschaftlichkeitsbewertung der Angebote anhand der Zuschlagskriterien betreffen, ist ausgeschlossen. Dies gilt nicht für Preisangaben, wenn es sich um unwesentliche Einzelpositionen handelt, deren Einzelpreise den Gesamtpreis nicht verändern oder die Wertungsreihenfolge und den Wettbewerb nicht beeinträchtigen.</w:t>
      </w:r>
    </w:p>
    <w:p>
      <w:r>
        <w:t xml:space="preserve">(4) Die Unterlagen sind vom Bewerber oder Bieter nach Aufforderung durch den öffentlichen Auftraggeber innerhalb einer von diesem festzulegenden angemessenen, nach dem Kalender bestimmten Frist vorzulegen.</w:t>
      </w:r>
    </w:p>
    <w:p>
      <w:r>
        <w:t xml:space="preserve">(5) Die Entscheidung zur und das Ergebnis der Nachforderung sind zu dokumentieren.</w:t>
      </w:r>
    </w:p>
    <w:p>
      <w:r>
        <w:rPr>
          <w:color w:val="555555"/>
          <w:sz w:val="17"/>
        </w:rPr>
        <w:t xml:space="preserve">Zitiervorschlag: § 56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