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VgV 2016 — Rechtsform von Unternehmen und Bietergemeinschaften</w:t>
      </w:r>
    </w:p>
    <w:p>
      <w:r>
        <w:rPr>
          <w:color w:val="555555"/>
          <w:sz w:val="18"/>
        </w:rPr>
        <w:t xml:space="preserve">Vergabeverordnung</w:t>
      </w:r>
    </w:p>
    <w:p>
      <w:r>
        <w:rPr>
          <w:color w:val="555555"/>
          <w:sz w:val="18"/>
        </w:rPr>
        <w:t xml:space="preserve">Stand: 10.06.2019 (konsolidierte Textfassung, kein amtliches Inkrafttretensdatum)</w:t>
      </w:r>
    </w:p>
    <w:p>
      <w:r>
        <w:t xml:space="preserve">(1) Bewerber oder Bieter, die gemäß den Rechtsvorschriften des Staates, in dem sie niedergelassen sind, zur Erbringung der betreffenden Leistung berechtigt sind, dürfen nicht allein deshalb zurückgewiesen werden, weil sie gemäß den deutschen Rechtsvorschriften eine natürliche oder juristische Person sein müssten. Juristische Personen können jedoch bei Dienstleistungsaufträgen sowie bei Lieferaufträgen, die zusätzlich Dienstleistungen umfassen, verpflichtet werden, in ihrem Antrag auf Teilnahme oder in ihrem Angebot die Namen und die berufliche Befähigung der Personen anzugeben, die für die Erbringung der Leistung als verantwortlich vorgesehen sind.</w:t>
      </w:r>
    </w:p>
    <w:p>
      <w:r>
        <w:t xml:space="preserve">(2) Bewerber- und Bietergemeinschaften sind wie Einzelbewerber und -bieter zu behandeln. Der öffentliche Auftraggeber darf nicht verlangen, dass Gruppen von Unternehmen eine bestimmte Rechtsform haben müssen, um einen Antrag auf Teilnahme zu stellen oder ein Angebot abzugeben. Sofern erforderlich kann der öffentliche Auftraggeber in den Vergabeunterlagen Bedingungen festlegen, wie Gruppen von Unternehmen die Eignungskriterien zu erfüllen und den Auftrag auszuführen haben; solche Bedingungen müssen durch sachliche Gründe gerechtfertigt und angemessen sein.</w:t>
      </w:r>
    </w:p>
    <w:p>
      <w:r>
        <w:t xml:space="preserve">(3) Unbeschadet des Absatzes 2 kann der öffentliche Auftraggeber verlangen, dass eine Bietergemeinschaft nach Zuschlagserteilung eine bestimmte Rechtsform annimmt, soweit dies für die ordnungsgemäße Durchführung des Auftrags erforderlich ist.</w:t>
      </w:r>
    </w:p>
    <w:p>
      <w:r>
        <w:rPr>
          <w:color w:val="555555"/>
          <w:sz w:val="17"/>
        </w:rPr>
        <w:t xml:space="preserve">Zitiervorschlag: § 43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