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VgV 2016 — Auswahl geeigneter Unternehmen; Ausschluss von Bewerbern und Bietern</w:t>
      </w:r>
    </w:p>
    <w:p>
      <w:r>
        <w:rPr>
          <w:color w:val="555555"/>
          <w:sz w:val="18"/>
        </w:rPr>
        <w:t xml:space="preserve">Vergabeverordnung</w:t>
      </w:r>
    </w:p>
    <w:p>
      <w:r>
        <w:rPr>
          <w:color w:val="555555"/>
          <w:sz w:val="18"/>
        </w:rPr>
        <w:t xml:space="preserve">Stand: 01.07.2026 (konsolidierte Textfassung, kein amtliches Inkrafttretensdatum)</w:t>
      </w:r>
    </w:p>
    <w:p>
      <w:r>
        <w:t xml:space="preserve">(1) Der öffentliche Auftraggeber überprüft die Eignung der Bewerber oder Bieter anhand der nach § 122 des Gesetzes gegen Wettbewerbsbeschränkungen festgelegten Eignungskriterien und das Nichtvorliegen von Ausschlussgründen nach den §§ 123 und 124 des Gesetzes gegen Wettbewerbsbeschränkungen sowie gegebenenfalls Maßnahmen des Bewerbers oder Bieters zur Selbstreinigung nach § 125 des Gesetzes gegen Wettbewerbsbeschränkungen und schließt gegebenenfalls Bewerber oder Bieter vom Vergabeverfahren aus.</w:t>
      </w:r>
    </w:p>
    <w:p>
      <w:r>
        <w:t xml:space="preserve">(2) Bei der Auswahl der Eignungskriterien und Eignungsnachweise nach § 122 des Gesetzes gegen Wettbewerbsbeschränkungen sind die besonderen Umstände von jungen sowie kleinen und mittleren Unternehmen angemessen zu berücksichtigen. Eine Begründung ist nicht erforderlich.</w:t>
      </w:r>
    </w:p>
    <w:p>
      <w:r>
        <w:t xml:space="preserve">(3) Im nicht offenen Verfahren, im Verhandlungsverfahren mit Teilnahmewettbewerb, im wettbewerblichen Dialog und in der Innovationspartnerschaft fordert der öffentliche Auftraggeber nur solche Bewerber zur Abgabe eines Angebots auf, die ihre Eignung nachgewiesen haben und nicht ausgeschlossen worden sind. § 51 bleibt unberührt.</w:t>
      </w:r>
    </w:p>
    <w:p>
      <w:r>
        <w:t xml:space="preserve">(4) Bei offenen Verfahren führt der öffentliche Auftraggeber die Angebotsprüfung vor der Eignungsprüfung durch. Er kann von Satz 1 abweichen, soweit ein erhöhter Aufwand oder sonstige verfahrensbezogene Gründe entgegenstehen. Eine Begründung für die Abweichung ist nicht erforderlich.</w:t>
      </w:r>
    </w:p>
    <w:p>
      <w:r>
        <w:rPr>
          <w:color w:val="555555"/>
          <w:sz w:val="17"/>
        </w:rPr>
        <w:t xml:space="preserve">Zitiervorschlag: § 42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