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 VgV 2016 — Vergabeunterlagen; Zahlung</w:t>
      </w:r>
    </w:p>
    <w:p>
      <w:r>
        <w:rPr>
          <w:color w:val="555555"/>
          <w:sz w:val="18"/>
        </w:rPr>
        <w:t xml:space="preserve">Vergabeverordnung</w:t>
      </w:r>
    </w:p>
    <w:p>
      <w:r>
        <w:rPr>
          <w:color w:val="555555"/>
          <w:sz w:val="18"/>
        </w:rPr>
        <w:t xml:space="preserve">Stand: 01.07.2026 (konsolidierte Textfassung, kein amtliches Inkrafttretensdatum)</w:t>
      </w:r>
    </w:p>
    <w:p>
      <w:r>
        <w:t xml:space="preserve">(1) Die Vergabeunterlagen umfassen alle Angaben, die erforderlich sind, um dem Bewerber oder Bieter eine Entscheidung zur Teilnahme am Vergabeverfahren zu ermöglichen. Sie bestehen in der Regel aus</w:t>
      </w:r>
    </w:p>
    <w:p>
      <w:pPr>
        <w:ind w:left="420"/>
      </w:pPr>
      <w:r>
        <w:t xml:space="preserve">1. dem Anschreiben, insbesondere der Aufforderung zur Abgabe von Teilnahmeanträgen oder Angeboten oder Begleitschreiben für die Abgabe der angeforderten Unterlagen,</w:t>
      </w:r>
    </w:p>
    <w:p>
      <w:pPr>
        <w:ind w:left="420"/>
      </w:pPr>
      <w:r>
        <w:t xml:space="preserve">2. der Beschreibung der Einzelheiten der Durchführung des Verfahrens (Bewerbungsbedingungen), einschließlich der Angabe der Eignungs- und Zuschlagskriterien, sofern nicht bereits in der Auftragsbekanntmachung genannt, und</w:t>
      </w:r>
    </w:p>
    <w:p>
      <w:pPr>
        <w:ind w:left="420"/>
      </w:pPr>
      <w:r>
        <w:t xml:space="preserve">3. den Vertragsunterlagen, die aus der Leistungsbeschreibung und den Vertragsbedingungen bestehen.</w:t>
      </w:r>
    </w:p>
    <w:p>
      <w:r>
        <w:t xml:space="preserve">(2) Der Teil B der Vergabe- und Vertragsordnung für Leistungen in der Fassung der Bekanntmachung vom 5. August 2003 (BAnz. Nr. 178a) ist in der Regel in den Vertrag einzubeziehen. Dies gilt nicht für die Vergabe von Aufträgen, die im Rahmen einer freiberuflichen Tätigkeit erbracht oder im Wettbewerb mit freiberuflichen Tätigen angeboten werden und deren Gegenstand eine Aufgabe ist, deren Lösung nicht vorab eindeutig beschrieben werden kann.</w:t>
      </w:r>
    </w:p>
    <w:p>
      <w:r>
        <w:t xml:space="preserve">(3) Die Zahlung des Rechnungsbetrages erfolgt nach Erfüllung der Leistung. Sie hat in der Regel binnen 30 Tagen nach Eingang der prüfbaren Rechnung zu erfolgen. In geeigneten Fällen sollen frühere Zahlungen, Abschlagszahlungen oder Vorauszahlungen im Rahmen der haushaltsrechtlichen Vorgaben vereinbart werden; eine Begründung ist nicht erforderlich.</w:t>
      </w:r>
    </w:p>
    <w:p>
      <w:r>
        <w:rPr>
          <w:color w:val="555555"/>
          <w:sz w:val="17"/>
        </w:rPr>
        <w:t xml:space="preserve">Zitiervorschlag: § 29 VgV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https://recht.nulegal.eu/gesetze/VgV%202016/29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