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VgV 2016 — Erstellung und Übermittlung von Bekanntmachungen; Datenaustauschstandard eForms</w:t>
      </w:r>
    </w:p>
    <w:p>
      <w:r>
        <w:rPr>
          <w:color w:val="555555"/>
          <w:sz w:val="18"/>
        </w:rPr>
        <w:t xml:space="preserve">Vergabeverordnung</w:t>
      </w:r>
    </w:p>
    <w:p>
      <w:r>
        <w:rPr>
          <w:color w:val="555555"/>
          <w:sz w:val="18"/>
        </w:rPr>
        <w:t xml:space="preserve">Stand: 01.07.2026 (konsolidierte Textfassung, kein amtliches Inkrafttretensdatum)</w:t>
      </w:r>
    </w:p>
    <w:p>
      <w:r>
        <w:t xml:space="preserve">(1) Auftragsbekanntmachungen, Vorinformationen, Vergabebekanntmachungen und Bekanntmachungen über Auftragsänderungen (Bekanntmachungen) sind elektronisch nach den Vorgaben der Durchführungsverordnung (EU) 2019/1780 zu erstellen. Sofern nicht aufgrund von Absatz 3 Satz 2 oder Absatz 4 etwas anderes geregelt ist, sind die Angaben zu den in Tabelle 2 des Anhangs der Durchführungsverordnung (EU) 2019/1780 für die Bekanntmachungen als fakultativ gekennzeichneten Angaben freiwillig.</w:t>
      </w:r>
    </w:p>
    <w:p>
      <w:r>
        <w:t xml:space="preserve">(2) Für Bekanntmachungen haben öffentliche Auftraggeber den Datenaustauschstandard eForms in der jeweils geltenden Fassung zu verwenden. Der Datenaustauschstandard eForms wird vom Bundesministerium für Digitales und Staatsmodernisierung im Einvernehmen mit dem Bundesministerium für Wirtschaft und Energie festgelegt und unverzüglich im Bundesanzeiger bekannt gemacht. Soweit für die Inhalte von Datenfeldern des Datenaustauschstandards eForms weitere oberste Bundesbehörden fachlich zuständig sind, ist die Festlegung dieser Datenfelder vor ihrer Bekanntmachung jeweils auch mit ihnen abzustimmen.</w:t>
      </w:r>
    </w:p>
    <w:p>
      <w:r>
        <w:t xml:space="preserve">(3) Im Datenaustauschstandard eForms können die Vorgaben der Durchführungsverordnung (EU) 2019/1780 für die Inhalte bestimmter Angaben in der Bekanntmachung konkretisiert werden. Einzelne der in Tabelle 2 des Anhangs der Durchführungsverordnung (EU) 2019/1780 als fakultativ gekennzeichnete Angaben können im Datenaustauschstandard eForms für bestimmte Bekanntmachungen für verpflichtend oder als nicht erfassbar erklärt werden, sofern dies aus technischen Gründen oder aufgrund der Anforderungen nach Absatz 4 erforderlich ist. Änderungen des Datenaustauschstandards eForms werden vom Bundesministerium für Digitales und Staatsmodernisierung im Einvernehmen mit dem Bundesministerium für Wirtschaft und Energie festgelegt und im Bundesanzeiger bekannt gemacht. Absatz 2 Satz 3 gilt entsprechend. Bei jeder Änderung sind das Datum der Bekanntmachung im Bundesanzeiger und das Datum, ab dem der geänderte Datenaustauschstandard eForms anzuwenden ist, anzugeben.</w:t>
      </w:r>
    </w:p>
    <w:p>
      <w:r>
        <w:t xml:space="preserve">(4) In Tabelle 2 des Anhangs der Durchführungsverordnung (EU) 2019/1780 als fakultativ gekennzeichnete Datenfelder sind für öffentliche Auftraggeber unbeschadet der Vorgaben des Datenaustauschstandards eForms nach Absatz 3 Satz 2 verpflichtend, soweit sie strategische Aspekte der Beschaffung betreffen. Strategische Aspekte der Beschaffung im Sinne des Satzes 1 sind:</w:t>
      </w:r>
    </w:p>
    <w:p>
      <w:pPr>
        <w:ind w:left="420"/>
      </w:pPr>
      <w:r>
        <w:t xml:space="preserve">1. Aspekte der Qualität und der Innovation, einschließlich der Angabe, ob Nebenangebote zugelassen sind,</w:t>
      </w:r>
    </w:p>
    <w:p>
      <w:pPr>
        <w:ind w:left="420"/>
      </w:pPr>
      <w:r>
        <w:t xml:space="preserve">2. soziale und umweltbezogene Aspekte, einschließlich der Datenfelder für die Beschaffung sauberer Straßenfahrzeuge,</w:t>
      </w:r>
    </w:p>
    <w:p>
      <w:pPr>
        <w:ind w:left="420"/>
      </w:pPr>
      <w:r>
        <w:t xml:space="preserve">3. wesentliche Aspekte der Zuschlagskriterien,</w:t>
      </w:r>
    </w:p>
    <w:p>
      <w:pPr>
        <w:ind w:left="420"/>
      </w:pPr>
      <w:r>
        <w:t xml:space="preserve">4. mittelständische Interessen sowie</w:t>
      </w:r>
    </w:p>
    <w:p>
      <w:pPr>
        <w:ind w:left="420"/>
      </w:pPr>
      <w:r>
        <w:t xml:space="preserve">5. die Identifizierung der Organisationseinheiten.</w:t>
      </w:r>
    </w:p>
    <w:p>
      <w:r>
        <w:t xml:space="preserve">Die betroffenen Datenfelder sind im Datenaustauschstandard eForms als verpflichtende Datenfelder aufzunehmen.</w:t>
      </w:r>
    </w:p>
    <w:p>
      <w:r>
        <w:t xml:space="preserve">(5) Bekanntmachungen sind dem Amt für Veröffentlichungen der Europäischen Union elektronisch über den Datenservice Öffentlicher Einkauf zu übermitteln. Die über den Datenservice Öffentlicher Einkauf an das Amt für Veröffentlichungen der Europäischen Union übermittelten Bekanntmachungen werden auch über den Bekanntmachungsservice des Datenservice Öffentlicher Einkauf veröffentlicht und frei zugänglich zur Verfügung gestellt. Das Beschaffungsamt des BMI trifft die erforderlichen technischen und organisatorischen Maßnahmen, um die Verfügbarkeit, die Integrität, die Authentizität und die Vertraulichkeit der im Datenservice Öffentlicher Einkauf verarbeiteten personenbezogenen Daten entsprechend dem jeweiligen Stand der Technik sicherzustellen.</w:t>
      </w:r>
    </w:p>
    <w:p>
      <w:r>
        <w:t xml:space="preserve">(6) Die Absätze 1 bis 5 gelten mit Blick auf § 7 Absatz 4 der Unterschwellenvergabeordnung nicht für die Vergabe von öffentlichen Aufträgen, deren geschätzter Auftragswert ohne Umsatzsteuer die Schwellenwerte gemäß § 106 des Gesetzes gegen Wettbewerbsbeschränkungen nicht erreicht.</w:t>
      </w:r>
    </w:p>
    <w:p>
      <w:r>
        <w:rPr>
          <w:color w:val="555555"/>
          <w:sz w:val="17"/>
        </w:rPr>
        <w:t xml:space="preserve">Zitiervorschlag: § 10a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