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VgTarifFAVO (Nordrhein-Westfalen) — Einberufung und Geschäftsordnung</w:t>
      </w:r>
    </w:p>
    <w:p>
      <w:r>
        <w:rPr>
          <w:color w:val="555555"/>
          <w:sz w:val="18"/>
        </w:rPr>
        <w:t xml:space="preserve">Vergabe-Tarif-Feststellungsausschuss-Verordnung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beratende Ausschuss ist bei Bedarf oder auf Verlangen von drei Mitgliedern durch die nach § 3 Absatz 2 Satz 5 des Tariftreue- und Vergabegesetzes Nordrhein-Westfalen beauftragte Person einzuberufen. Mit der Einberufung ist die Tagesordnung mitzuteilen. Die Ladungsfrist beträgt zwei Wochen. Die Sitzungen des Ausschusses sind nicht öffentlich. Der beratende Ausschuss gibt sich eine Geschäftsordnung.</w:t>
      </w:r>
    </w:p>
    <w:p>
      <w:r>
        <w:rPr>
          <w:color w:val="555555"/>
          <w:sz w:val="17"/>
        </w:rPr>
        <w:t xml:space="preserve">Zitiervorschlag: § 2 VgTarifFAVO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https://recht.nulegal.eu/gesetze/VgTarifFAVO/2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