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VgMvG (Brandenburg) — Haushalts-, Kassen- und Rechnungswesen sowie Kostenersatz</w:t>
      </w:r>
    </w:p>
    <w:p>
      <w:r>
        <w:rPr>
          <w:color w:val="555555"/>
          <w:sz w:val="18"/>
        </w:rPr>
        <w:t xml:space="preserve">Verbandsgemeinde- und Mitverwaltungsgesetz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mitverwaltende Gemeinde und die mitverwalteten Gemeinden verfügen als jeweils fortbestehende eigenständige juristische Personen des öffentlichen Rechts über ein eigenes Haushalts-, Kassen- und Rechnungswesen gemäß den Regelungen des Teils 1 Kapitel 3 Abschnitt 1, 2 und 4 der Kommunalverfassung des Landes Brandenburg.</w:t>
      </w:r>
    </w:p>
    <w:p>
      <w:r>
        <w:t xml:space="preserve">(2) Die Erhebung der Kreisumlage wird von der Mitverwaltung nicht berührt.</w:t>
      </w:r>
    </w:p>
    <w:p>
      <w:r>
        <w:t xml:space="preserve">(3) Die mitverwaltende Gemeinde besorgt das Haushalts-, Kassen- und Rechnungswesen für die mitverwalteten Gemeinden.</w:t>
      </w:r>
    </w:p>
    <w:p>
      <w:r>
        <w:t xml:space="preserve">(4) Soweit die mitverwaltende Gemeinde ein Rechnungsprüfungsamt eingerichtet hat oder sich eines anderen Rechnungsprüfungsamtes bedient, obliegt diesem Rechnungsprüfungsamt auch die örtliche Prüfung der mitverwalteten Gemeinden.</w:t>
      </w:r>
    </w:p>
    <w:p>
      <w:r>
        <w:t xml:space="preserve">(5) Für die hauptamtliche Verwaltung der mitverwalteten Gemeinden sind der mitverwaltenden Gemeinde die Kosten zu erstatten.</w:t>
      </w:r>
    </w:p>
    <w:p>
      <w:r>
        <w:rPr>
          <w:color w:val="555555"/>
          <w:sz w:val="17"/>
        </w:rPr>
        <w:t xml:space="preserve">Zitiervorschlag: § 24 VgMvG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https://recht.nulegal.eu/gesetze/VgMvG/24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