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VgMvG (Brandenburg) — Zuständigkeiten des Mitverwaltungsausschusses</w:t>
      </w:r>
    </w:p>
    <w:p>
      <w:r>
        <w:rPr>
          <w:color w:val="555555"/>
          <w:sz w:val="18"/>
        </w:rPr>
        <w:t xml:space="preserve">Verbandsgemeinde- und Mitverwaltungsgesetz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Mitverwaltungsausschuss nimmt die nach § 28 Absatz 2 Satz 1 Nummer 1, 5, 7 und 12 der Kommunalverfassung des Landes Brandenburg den Gemeindevertretungen vorbehaltenen Zuständigkeiten sowohl für die mitverwaltende als auch die mitverwalteten Gemeinden wahr.</w:t>
      </w:r>
    </w:p>
    <w:p>
      <w:r>
        <w:t xml:space="preserve">(2) Der Mitverwaltungsausschuss soll im Interesse einer effektiven Verwaltungsdurchführung bei mehreren mitverwalteten Gemeinden auf möglichst gleichlautende Beschlüsse hinwirken.</w:t>
      </w:r>
    </w:p>
    <w:p>
      <w:r>
        <w:rPr>
          <w:color w:val="555555"/>
          <w:sz w:val="17"/>
        </w:rPr>
        <w:t xml:space="preserve">Zitiervorschlag: § 22 VgMvG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https://recht.nulegal.eu/gesetze/VgMvG/22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