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VgMvG (Brandenburg) — Mitverwaltungsvereinbarung</w:t>
      </w:r>
    </w:p>
    <w:p>
      <w:r>
        <w:rPr>
          <w:color w:val="555555"/>
          <w:sz w:val="18"/>
        </w:rPr>
        <w:t xml:space="preserve">Verbandsgemeinde- und Mitverwaltungsgesetz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der Mitverwaltungsvereinbarung nach § 17 Absatz 1 sind insbesondere die Beteiligten und der Beginn der Mitverwaltung zu regeln. Darüber hinaus soll eine Auflistung von Vermögen und Schulden, die entschädigungslos im Zuge der Rechtsnachfolge gemäß § 19 Absatz 2 Satz 1 gesetzlich übergehen, beigefügt werden oder es ist in der Mitverwaltungsvereinbarung eine abweichende Regelung zum Übergang von Vermögen und Schulden zu treffen. § 84 der Kommunalverfassung des Landes Brandenburg findet entsprechende Anwendung.</w:t>
      </w:r>
    </w:p>
    <w:p>
      <w:r>
        <w:t xml:space="preserve">(2) In der Mitverwaltungsvereinbarung können Regelungen zum Kostenersatz vereinbart werden.</w:t>
      </w:r>
    </w:p>
    <w:p>
      <w:r>
        <w:t xml:space="preserve">(3) Für den Fall der Beendigung der Mitverwaltung sollen bereits Regelungen für eine Rückübertragung getroffen werden.</w:t>
      </w:r>
    </w:p>
    <w:p>
      <w:r>
        <w:t xml:space="preserve">(4) Zur Vermeidung zukünftiger gerichtlicher Streitigkeiten können die beteiligten Gemeinden eine Schiedsklausel vereinbaren.</w:t>
      </w:r>
    </w:p>
    <w:p>
      <w:r>
        <w:rPr>
          <w:color w:val="555555"/>
          <w:sz w:val="17"/>
        </w:rPr>
        <w:t xml:space="preserve">Zitiervorschlag: § 18 VgMvG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https://recht.nulegal.eu/gesetze/VgMvG/18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