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VgMvG (Brandenburg) — Haushaltswirtschaft</w:t>
      </w:r>
    </w:p>
    <w:p>
      <w:r>
        <w:rPr>
          <w:color w:val="555555"/>
          <w:sz w:val="18"/>
        </w:rPr>
        <w:t xml:space="preserve">Verbandsgemeinde- und Mitverwaltungsgesetz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Verbandsgemeinde besorgt das Haushalts-, Kassen- und Rechnungswesen gemäß Teil 1 Kapitel 3 Abschnitt 1, 2 und 4 der Kommunalverfassung des Landes Brandenburg für die Ortsgemeinden.</w:t>
      </w:r>
    </w:p>
    <w:p>
      <w:r>
        <w:t xml:space="preserve">(2) Soweit eine Verbandsgemeinde ein Rechnungsprüfungsamt eingerichtet hat oder sich eines anderen Rechnungsprüfungsamtes bedient, obliegt diesem Rechnungsprüfungsamt auch die örtliche Prüfung der Ortsgemeinden gemäß § 102 der Kommunalverfassung des Landes Brandenburg.</w:t>
      </w:r>
    </w:p>
    <w:p>
      <w:r>
        <w:rPr>
          <w:color w:val="555555"/>
          <w:sz w:val="17"/>
        </w:rPr>
        <w:t xml:space="preserve">Zitiervorschlag: § 13 VgMvG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https://recht.nulegal.eu/gesetze/VgMvG/13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