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VgMvG (Brandenburg) — Wahlbehörde</w:t>
      </w:r>
    </w:p>
    <w:p>
      <w:r>
        <w:rPr>
          <w:color w:val="555555"/>
          <w:sz w:val="18"/>
        </w:rPr>
        <w:t xml:space="preserve">Verbandsgemeinde- und Mitverwaltungsgesetz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Wahlbehörde ist die Verbandsgemeindebürgermeisterin oder der Verbandsgemeindebürgermeister oder die Hauptverwaltungsbeamtin oder der Hauptverwaltungsbeamte, die oder der nach § 3 Absatz 3 dieses Amt wahrnimmt.</w:t>
      </w:r>
    </w:p>
    <w:p>
      <w:r>
        <w:rPr>
          <w:color w:val="555555"/>
          <w:sz w:val="17"/>
        </w:rPr>
        <w:t xml:space="preserve">Zitiervorschlag: § 11 VgMvG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https://recht.nulegal.eu/gesetze/VgMvG/11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