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VgMvG (Brandenburg) — Träger von hauptamtlichen Verwaltungen auf der Gemeindeebene</w:t>
      </w:r>
    </w:p>
    <w:p>
      <w:r>
        <w:rPr>
          <w:color w:val="555555"/>
          <w:sz w:val="18"/>
        </w:rPr>
        <w:t xml:space="preserve">Verbandsgemeinde- und Mitverwaltungsgesetz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Träger einer hauptamtlichen Verwaltung auf der gemeindlichen Ebene können</w:t>
      </w:r>
    </w:p>
    <w:p>
      <w:r>
        <w:t xml:space="preserve">amtsfreie Gemeinden (Teil 1 der Kommunalverfassung des Landes Brandenburg),</w:t>
      </w:r>
    </w:p>
    <w:p>
      <w:r>
        <w:t xml:space="preserve">Ämter (Teil 3 der Kommunalverfassung des Landes Brandenburg),</w:t>
      </w:r>
    </w:p>
    <w:p>
      <w:r>
        <w:t xml:space="preserve">Verbandsgemeinden (Abschnitt 2) und</w:t>
      </w:r>
    </w:p>
    <w:p>
      <w:r>
        <w:t xml:space="preserve">mitverwaltende Gemeinden (Abschnitt 3)</w:t>
      </w:r>
    </w:p>
    <w:p>
      <w:r>
        <w:t xml:space="preserve">sein.</w:t>
      </w:r>
    </w:p>
    <w:p>
      <w:r>
        <w:rPr>
          <w:color w:val="555555"/>
          <w:sz w:val="17"/>
        </w:rPr>
        <w:t xml:space="preserve">Zitiervorschlag: § 1 VgMvG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https://recht.nulegal.eu/gesetze/VgMvG/1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