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VfzV — Höhe der Zuweisungssätze</w:t>
      </w:r>
    </w:p>
    <w:p>
      <w:r>
        <w:rPr>
          <w:color w:val="555555"/>
          <w:sz w:val="18"/>
        </w:rPr>
        <w:t xml:space="preserve">Versorgungsfondszuweisungsverordnung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für die Höhe der regelmäßigen Zuweisungen an das Sondervermögen „Versorgungsfonds des Bundes“ maßgebenden Prozentsätze der jeweiligen ruhegehaltfähigen Dienstbezüge (Zuweisungssätze) betragen:</w:t>
      </w:r>
    </w:p>
    <w:p>
      <w:pPr>
        <w:ind w:left="420"/>
      </w:pPr>
      <w:r>
        <w:t xml:space="preserve">1. für Beamtinnen und Beamte mit besonderer Altersgrenze nach § 51 Absatz 1 Satz 2 des Bundesbeamtengesetzes 32,6 Prozent,</w:t>
      </w:r>
    </w:p>
    <w:p>
      <w:pPr>
        <w:ind w:left="420"/>
      </w:pPr>
      <w:r>
        <w:t xml:space="preserve">2. für alle übrigen Beamtinnen und Beamten des höheren Dienstes sowie für Richterinnen und Richter 36,9 Prozent,</w:t>
      </w:r>
    </w:p>
    <w:p>
      <w:pPr>
        <w:ind w:left="420"/>
      </w:pPr>
      <w:r>
        <w:t xml:space="preserve">3. für alle übrigen Beamtinnen und Beamten des gehobenen Dienstes 29,3 Prozent,</w:t>
      </w:r>
    </w:p>
    <w:p>
      <w:pPr>
        <w:ind w:left="420"/>
      </w:pPr>
      <w:r>
        <w:t xml:space="preserve">4. für alle übrigen Beamtinnen und Beamten des mittleren und einfachen Dienstes 27,9 Prozent,</w:t>
      </w:r>
    </w:p>
    <w:p>
      <w:pPr>
        <w:ind w:left="420"/>
      </w:pPr>
      <w:r>
        <w:t xml:space="preserve">5. für Berufssoldatinnen und Berufssoldaten 36,9 Prozent.</w:t>
      </w:r>
    </w:p>
    <w:p>
      <w:r>
        <w:t xml:space="preserve">(2) Für Beschäftigte, denen eine Anwartschaft auf Versorgung nach beamtenrechtlichen Vorschriften oder Grundsätzen gewährleistet wird, gelten die Zuweisungssätze der Beamtinnen und Beamten in den entsprechenden Laufbahnen.</w:t>
      </w:r>
    </w:p>
    <w:p>
      <w:r>
        <w:t xml:space="preserve">(3) Die Zuweisungssätze nach Absatz 1 erhöhen sich im Falle der Begründung des Dienst- oder Beschäftigungsverhältnisses nach Vollendung des 45. Lebensjahres um 50 Prozent und nach Vollendung des 50. Lebensjahres um 100 Prozent. Dies gilt nicht in Fällen des § 16 Absatz 3 des Versorgungsrücklagegesetzes in der Fassung der Bekanntmachung vom 27. März 2007 (BGBl. I S. 482), das durch Artikel 4 des Gesetzes vom 22. Dezember 2007 (BGBl. I S. 3245) geändert worden ist.</w:t>
      </w:r>
    </w:p>
    <w:p>
      <w:r>
        <w:rPr>
          <w:color w:val="555555"/>
          <w:sz w:val="17"/>
        </w:rPr>
        <w:t xml:space="preserve">Zitiervorschlag: § 1 VfzV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