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VfGHG (Bayern)</w:t>
      </w:r>
    </w:p>
    <w:p>
      <w:r>
        <w:rPr>
          <w:color w:val="555555"/>
          <w:sz w:val="18"/>
        </w:rPr>
        <w:t xml:space="preserve">Gesetz über den Bayerischen Verfassungsgerichtshof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10. Mai 1990</w:t>
      </w:r>
    </w:p>
    <w:p>
      <w:r>
        <w:t xml:space="preserve">Der Bayerische Ministerpräsident</w:t>
      </w:r>
    </w:p>
    <w:p>
      <w:r>
        <w:t xml:space="preserve">Dr. h. c. Max Streibl</w:t>
      </w:r>
    </w:p>
    <w:p>
      <w:r>
        <w:rPr>
          <w:color w:val="555555"/>
          <w:sz w:val="17"/>
        </w:rPr>
        <w:t xml:space="preserve">Zitiervorschlag: Schlussformel VfGHG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https://recht.nulegal.eu/gesetze/VfGHG/schlussformel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