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VfGHG (Bayern) — Inkrafttreten; Außerkrafttreten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1991 in Kraft.</w:t>
      </w:r>
    </w:p>
    <w:p>
      <w:r>
        <w:t xml:space="preserve">(2) Abweichend von Absatz 1 Satz 1 treten Art. 3 Abs. 6, Art. 10 Abs. 1 und Art. 30 Abs. 2 am 1. August 1990 in Kraft.</w:t>
      </w:r>
    </w:p>
    <w:p>
      <w:r>
        <w:rPr>
          <w:color w:val="555555"/>
          <w:sz w:val="17"/>
        </w:rPr>
        <w:t xml:space="preserve">Zitiervorschlag: Art 57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