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VfGHG (Bayern) — Popularklage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Verfassungswidrigkeit einer Rechtsvorschrift des bayerischen Landesrechts kann jedermann durch Beschwerde beim Verfassungsgerichtshof geltend machen. Er hat darzulegen, daß ein durch die Verfassung gewährleistetes Grundrecht verfassungswidrig eingeschränkt wird.</w:t>
      </w:r>
    </w:p>
    <w:p>
      <w:r>
        <w:t xml:space="preserve">(2) Der Verfassungsgerichtshof hat dem Landtag, der Staatsregierung und den übrigen Beteiligten Gelegenheit zur Äußerung zu geben.</w:t>
      </w:r>
    </w:p>
    <w:p>
      <w:r>
        <w:t xml:space="preserve">(3) Der Verfassungsgerichtshof kann von einer mündlichen Verhandlung absehen, wenn er eine solche nach der Sach- und Rechtslage nicht für geboten erachtet.</w:t>
      </w:r>
    </w:p>
    <w:p>
      <w:r>
        <w:t xml:space="preserve">(4) Ausfertigungen der Entscheidung sind dem Landtag und der Staatsregierung zuzustellen.</w:t>
      </w:r>
    </w:p>
    <w:p>
      <w:r>
        <w:t xml:space="preserve">(5) Der Verfassungsgerichtshof kann trotz einer Rücknahme der Popularklage über diese entscheiden, wenn er eine Entscheidung im öffentlichen Interesse für geboten hält; er hat über die Popularklage zu entscheiden, wenn die juristische Person des öffentlichen Rechts, deren Rechtsvorschrift angegriffen ist, eine Entscheidung binnen vier Wochen ab Zustellung der Rücknahmeerklärung beantragt.</w:t>
      </w:r>
    </w:p>
    <w:p>
      <w:r>
        <w:rPr>
          <w:color w:val="555555"/>
          <w:sz w:val="17"/>
        </w:rPr>
        <w:t xml:space="preserve">Zitiervorschlag: Art 55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