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53 VfGHG (Bayern) — Verfahren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Beschwerde entscheidet der Verfassungsgerichtshof ohne mündliche Verhandlung. Der Präsident oder der Verfassungsgerichtshof können mündliche Verhandlung anordnen.</w:t>
      </w:r>
    </w:p>
    <w:p>
      <w:r>
        <w:t xml:space="preserve">(2) Zur mündlichen Verhandlung sind der Beschwerdeführer und die Staatsregierung oder das beteiligte Staatsministerium zu laden.</w:t>
      </w:r>
    </w:p>
    <w:p>
      <w:r>
        <w:t xml:space="preserve">(3) Der Präsident oder der Verfassungsgerichtshof können das persönliche Erscheinen des Beschwerdeführers anordnen.</w:t>
      </w:r>
    </w:p>
    <w:p>
      <w:r>
        <w:rPr>
          <w:color w:val="555555"/>
          <w:sz w:val="17"/>
        </w:rPr>
        <w:t xml:space="preserve">Zitiervorschlag: Art 53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