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VfGHG (Bayern) — Verfahren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das Verfahren finden die besonderen Verfahrensvorschriften bei Anklagen gegen Mitglieder der Staatsregierung entsprechende Anwendung.</w:t>
      </w:r>
    </w:p>
    <w:p>
      <w:r>
        <w:t xml:space="preserve">(2) Die Erhebung und Weiterverfolgung der Anklage werden durch den Verlust der Mitgliedschaft beim Landtag nicht berührt.</w:t>
      </w:r>
    </w:p>
    <w:p>
      <w:r>
        <w:t xml:space="preserve">(3) Ausfertigungen des Urteils samt Gründen sind dem Landtag, dem Angeklagten und der Staatsregierung zuzustellen.</w:t>
      </w:r>
    </w:p>
    <w:p>
      <w:r>
        <w:rPr>
          <w:color w:val="555555"/>
          <w:sz w:val="17"/>
        </w:rPr>
        <w:t xml:space="preserve">Zitiervorschlag: Art 44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