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41 VfGHG (Bayern) — Verkündung des Urteils; Zustellung</w:t>
      </w:r>
    </w:p>
    <w:p>
      <w:r>
        <w:rPr>
          <w:color w:val="555555"/>
          <w:sz w:val="18"/>
        </w:rPr>
        <w:t xml:space="preserve">Gesetz über den Bayerischen Verfassungsgerichtshof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Verkündung des Urteils erfolgt durch Verlesung der Urteilsformel und Eröffnung der Urteilsgründe am Schluß der Verhandlung oder spätestens nach Ablauf eines Monats nach dem Schluß der Verhandlung.</w:t>
      </w:r>
    </w:p>
    <w:p>
      <w:r>
        <w:t xml:space="preserve">(2) Ausfertigungen des Urteils samt Gründen sind dem Landtag, der Staatsregierung und dem Angeklagten zuzustellen.</w:t>
      </w:r>
    </w:p>
    <w:p>
      <w:r>
        <w:rPr>
          <w:color w:val="555555"/>
          <w:sz w:val="17"/>
        </w:rPr>
        <w:t xml:space="preserve">Zitiervorschlag: Art 41 VfGHG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https://recht.nulegal.eu/gesetze/VfGHG/41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