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40 VfGHG (Bayern) — Urteil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Verfassungsgerichtshof entscheidet auf der Grundlage der Anklageschrift des Landtags nach dem Ergebnis der mündlichen Verhandlung.</w:t>
      </w:r>
    </w:p>
    <w:p>
      <w:r>
        <w:t xml:space="preserve">(2) Der Verfassungsgerichtshof spricht in seinem Urteil aus, daß der Angeklagte vorsätzlich die Verfassung oder ein näher zu bezeichnendes Gesetz verletzt hat oder daß er von der Anklage freigesprochen wird.</w:t>
      </w:r>
    </w:p>
    <w:p>
      <w:r>
        <w:t xml:space="preserve">(3) Zur Bejahung der Schuldfrage sind mehr als zwölf Stimmen erforderlich.</w:t>
      </w:r>
    </w:p>
    <w:p>
      <w:r>
        <w:rPr>
          <w:color w:val="555555"/>
          <w:sz w:val="17"/>
        </w:rPr>
        <w:t xml:space="preserve">Zitiervorschlag: Art 40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