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VfGHG (Bayern) — Ergänzende Bestimmungen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dieses Gesetz keine Bestimmungen über das Verfahren enthält, sind die Vorschriften der Verwaltungsgerichtsordnung, ergänzend die der Zivilprozessordnung entsprechend heranzuziehen.</w:t>
      </w:r>
    </w:p>
    <w:p>
      <w:r>
        <w:t xml:space="preserve">(2) Im übrigen kann das Berufsrichterplenum des Verfassungsgerichtshofs das Verfahren und den Geschäftsgang durch eine Geschäftsordnung regeln. Diese ist im Gesetz- und Verordnungsblatt zu veröffentlichen.</w:t>
      </w:r>
    </w:p>
    <w:p>
      <w:r>
        <w:rPr>
          <w:color w:val="555555"/>
          <w:sz w:val="17"/>
        </w:rPr>
        <w:t xml:space="preserve">Zitiervorschlag: Art 30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