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VfGHG (Bayern) — Besetzung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Verfassungsgerichtshof besteht aus dem Präsidenten, 22 berufsrichterlichen Mitgliedern, 15 weiteren Mitgliedern und deren Vertretern.</w:t>
      </w:r>
    </w:p>
    <w:p>
      <w:r>
        <w:t xml:space="preserve">(2) An den einzelnen Verfahren wirken mit:</w:t>
      </w:r>
    </w:p>
    <w:p>
      <w:r>
        <w:t xml:space="preserve">1. in den Fällen des Art. 2 Nr. 1 der Präsident, acht berufsrichterliche Mitglieder, von denen drei dem Verwaltungsgerichtshof angehören, sowie zehn weitere Mitglieder,</w:t>
      </w:r>
    </w:p>
    <w:p>
      <w:r>
        <w:t xml:space="preserve">2. in den Fällen des Art. 2 Nrn. 5, 7 und 8 und, wenn der Organstreit die Verfassungsmäßigkeit einer Rechtsvorschrift betrifft, auch im Fall des Art. 2 Nr. 4, der Präsident und acht berufsrichterliche Mitglieder, von denen drei dem Verwaltungsgerichtshof angehören,</w:t>
      </w:r>
    </w:p>
    <w:p>
      <w:r>
        <w:t xml:space="preserve">3. in den übrigen Fällen der Präsident, drei berufsrichterliche Mitglieder, von denen zwei dem Verwaltungsgerichtshof angehören, und fünf weitere Mitglieder.</w:t>
      </w:r>
    </w:p>
    <w:p>
      <w:r>
        <w:t xml:space="preserve">Für die Verfahrensarten im Sinn des Satzes 1 können im Geschäftsverteilungsplan jeweils mehrere Spruchgruppen gebildet werden. Jedes Mitglied des Verfassungsgerichtshofs gehört mindestens einer Spruchgruppe an.</w:t>
      </w:r>
    </w:p>
    <w:p>
      <w:r>
        <w:t xml:space="preserve">(3) Kommt der Verfassungsgerichtshof in einem vor ihm anhängigen anderen Verfahren in der Zusammensetzung nach Art. 3 Abs. 2 Nrn. 1 oder 3 zu der Auffassung, daß eine entscheidungserhebliche Rechtsvorschrift des bayerischen Landesrechts verfassungswidrig sei, so hat er über diese Frage in der in Art. 3 Abs. 2 Nr. 2 vorgeschriebenen Zusammensetzung vorab zu entscheiden. Er hat das bei ihm anhängige Verfahren bis zu dieser Entscheidung auszusetzen. Die Entscheidung ist zu begründen und die für verfassungswidrig gehaltene Rechtsvorschrift zu bezeichnen.</w:t>
      </w:r>
    </w:p>
    <w:p>
      <w:r>
        <w:t xml:space="preserve">(4) Hält eine Spruchgruppe ihre Zuständigkeit nicht für gegeben, gibt sie durch Beschluß das Verfahren an die nach ihrer Ansicht zuständige Spruchgruppe ab. Hält sich auch diese nicht für zuständig, bestimmt das Berufsrichterplenum die zuständige Spruchgruppe mit bindender Wirkung; das gleiche gilt, wenn mehrere Spruchgruppen sich für zuständig halten.</w:t>
      </w:r>
    </w:p>
    <w:p>
      <w:r>
        <w:t xml:space="preserve">(5) In den vom Gesetz bestimmten Fällen entscheidet der Verfassungsgerichtshof in der kleinen Besetzung. Diese besteht aus dem Präsidenten und zwei berufsrichterlichen Mitgliedern, von denen einer dem Verwaltungsgerichtshof angehören muß.</w:t>
      </w:r>
    </w:p>
    <w:p>
      <w:r>
        <w:t xml:space="preserve">(6) Der Präsident und die berufsrichterlichen Mitglieder bilden das Berufsrichterplenum. Es ist beschlußfähig, wenn seine Mitglieder rechtzeitig geladen sind und der Präsident und mindestens die Hälfte der berufsrichterlichen Mitglieder anwesend sind. Die Ladungsfrist beträgt zwei Wochen. Das Berufsrichterplenum entscheidet mit der Mehrheit der Stimmen der anwesenden Mitglieder. Bei Stimmengleichheit gibt die Stimme des Präsidenten, im Vertretungsfall die seines Vertreters, den Ausschlag.</w:t>
      </w:r>
    </w:p>
    <w:p>
      <w:r>
        <w:rPr>
          <w:color w:val="555555"/>
          <w:sz w:val="17"/>
        </w:rPr>
        <w:t xml:space="preserve">Zitiervorschlag: Art 3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