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29 VfGHG (Bayern) — Bindungswirkung der Entscheidung, Vollzug</w:t>
      </w:r>
    </w:p>
    <w:p>
      <w:r>
        <w:rPr>
          <w:color w:val="555555"/>
          <w:sz w:val="18"/>
        </w:rPr>
        <w:t xml:space="preserve">Gesetz über den Bayerischen Verfassungsgerichtshof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Entscheidungen des Verfassungsgerichtshofs sind für alle anderen Verfassungsorgane sowie für Gerichte und Behörden bindend.</w:t>
      </w:r>
    </w:p>
    <w:p>
      <w:r>
        <w:t xml:space="preserve">(2) Der Verfassungsgerichtshof kann in seiner Entscheidung die Art und Weise des Vollzugs regeln.</w:t>
      </w:r>
    </w:p>
    <w:p>
      <w:r>
        <w:rPr>
          <w:color w:val="555555"/>
          <w:sz w:val="17"/>
        </w:rPr>
        <w:t xml:space="preserve">Zitiervorschlag: Art 29 VfGHG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https://recht.nulegal.eu/gesetze/VfGHG/29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