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VfGHG (Bayern) — Einstweilige Anordnung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Verfassungsgerichtshof kann eine einstweilige Anordnung erlassen, wenn dies zur Abwehr schwerer Nachteile, zur Verhinderung drohender Gewalt oder aus einem anderen wichtigen Grund dringend geboten ist.</w:t>
      </w:r>
    </w:p>
    <w:p>
      <w:r>
        <w:t xml:space="preserve">(2) Die einstweilige Anordnung kann ohne mündliche Verhandlung ergehen. Bei besonderer Dringlichkeit kann der Verfassungsgerichtshof davon absehen, den am Verfahren zur Hauptsache Beteiligten oder Äußerungsberechtigten vor der Entscheidung Gelegenheit zur Stellungnahme zu geben.</w:t>
      </w:r>
    </w:p>
    <w:p>
      <w:r>
        <w:t xml:space="preserve">(3) Kann in Fällen besonderer Dringlichkeit die Entscheidung der zuständigen Spruchgruppe nicht rechtzeitig herbeigeführt werden, so entscheidet der Präsident oder im Fall seiner Verhinderung sein Vertreter. Gegen die Entscheidung kann jeder Beteiligte innerhalb von zwei Wochen nach Bekanntgabe Widerspruch erheben. Über den Widerspruch entscheidet der Verfassungsgerichtshof in der Besetzung nach Art. 3 Abs. 2. Der Widerspruch hat keine aufschiebende Wirkung. Der Verfassungsgerichtshof kann die Vollziehung der einstweiligen Anordnung aussetzen.</w:t>
      </w:r>
    </w:p>
    <w:p>
      <w:r>
        <w:t xml:space="preserve">(4) Die einstweilige Anordnung tritt mit der Beendigung des Hauptsacheverfahrens außer Kraft, sofern sie der Verfassungsgerichtshof nicht früher aufhebt.</w:t>
      </w:r>
    </w:p>
    <w:p>
      <w:r>
        <w:rPr>
          <w:color w:val="555555"/>
          <w:sz w:val="17"/>
        </w:rPr>
        <w:t xml:space="preserve">Zitiervorschlag: Art 26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