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VfGHG (Bayern) — Beratung, Abstimmung, Öffentlichkeit, Sitzungspolizei und Gerichtssprache</w:t>
      </w:r>
    </w:p>
    <w:p>
      <w:r>
        <w:rPr>
          <w:color w:val="555555"/>
          <w:sz w:val="18"/>
        </w:rPr>
        <w:t xml:space="preserve">Gesetz über den Bayerischen Verfassungsgerichtshof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der Beratung und Abstimmung dürfen nur die zur Entscheidung berufenen Mitglieder des Verfassungsgerichtshofs anwesend sein.</w:t>
      </w:r>
    </w:p>
    <w:p>
      <w:r>
        <w:t xml:space="preserve">(2) Die zur Entscheidung berufenen Mitglieder des Verfassungsgerichtshofs stimmen nach dem Lebensalter; der Jüngere stimmt vor dem Älteren. Wenn ein Berichterstatter ernannt ist, stimmt er zuerst; nach ihm stimmt gegebenenfalls der Mitberichterstatter. Zuletzt stimmt der Vorsitzende. Stimmenthaltung ist nicht zulässig.</w:t>
      </w:r>
    </w:p>
    <w:p>
      <w:r>
        <w:t xml:space="preserve">(3) Eine schriftliche Abstimmung, insbesondere eine solche im Weg des Umlaufs bei den zur Entscheidung berufenen Mitgliedern des Verfassungsgerichtshofs, ist nicht zulässig.</w:t>
      </w:r>
    </w:p>
    <w:p>
      <w:r>
        <w:t xml:space="preserve">(4) Die Mitglieder des Verfassungsgerichtshofs sind verpflichtet, über den Gang der Beratung und Abstimmung Stillschweigen zu wahren.</w:t>
      </w:r>
    </w:p>
    <w:p>
      <w:r>
        <w:t xml:space="preserve">(5) Im übrigen sind hinsichtlich der Öffentlichkeit, Sitzungspolizei, Gerichtssprache, Beratung und Abstimmung die Vorschriften der Titel 14 bis 16 des Gerichtsverfassungsgesetzes entsprechend anwendbar.</w:t>
      </w:r>
    </w:p>
    <w:p>
      <w:r>
        <w:rPr>
          <w:color w:val="555555"/>
          <w:sz w:val="17"/>
        </w:rPr>
        <w:t xml:space="preserve">Zitiervorschlag: Art 24 VfGHG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https://recht.nulegal.eu/gesetze/VfGHG/24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