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VfGHG (Bayern) — Beweisaufnahme</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Verfassungsgerichtshof erhebt ohne Bindung an Anträge den nach seinem Ermessen erforderlichen Beweis. Zur Vorbereitung der Verhandlung kann auch der Präsident außerhalb der Sitzung durch ein berufsrichterliches Mitglied des Verfassungsgerichtshofs als beauftragten Richter Beweise aufnehmen lassen oder zu bestimmten Beweisthemen ein anderes Gericht um die Aufnahme bestimmter Beweise ersuchen.</w:t>
      </w:r>
    </w:p>
    <w:p>
      <w:r>
        <w:t xml:space="preserve">(2) Die Beteiligten werden von allen Beweisterminen unter Mitteilung des Beweisthemas benachrichtigt und können der Beweisaufnahme beiwohnen. Sie können an Zeugen und Sachverständige sachdienliche Fragen richten oder richten lassen. Über die Aussagen von Zeugen, Sachverständigen und Beteiligten ist eine Niederschrift aufzunehmen.</w:t>
      </w:r>
    </w:p>
    <w:p>
      <w:r>
        <w:t xml:space="preserve">(3) Bei Beweisaufnahmen außerhalb der Sitzung entscheidet über eine Beschwerde gegen die Festsetzung eines Ordnungsmittels im Fall des § 180 GVG oder die Anordnung von Zwangsmitteln der Verfassungsgerichtshof in der kleinen Besetzung; im übrigen sind richterliche Maßnahmen im Rahmen der Beweisaufnahme nicht gesondert anfechtbar.</w:t>
      </w:r>
    </w:p>
    <w:p>
      <w:r>
        <w:t xml:space="preserve">(4) Auf die Beweisaufnahme finden im übrigen in den Fällen des Art. 2 Nr. 1 die Vorschriften der Strafprozeßordnung, in den übrigen Fällen die Vorschriften der Zivilprozessordnung entsprechende Anwendung.</w:t>
      </w:r>
    </w:p>
    <w:p>
      <w:r>
        <w:rPr>
          <w:color w:val="555555"/>
          <w:sz w:val="17"/>
        </w:rPr>
        <w:t xml:space="preserve">Zitiervorschlag: Art 23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